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FF5" w:rsidRDefault="005831CC">
      <w:pPr>
        <w:jc w:val="center"/>
      </w:pPr>
      <w:bookmarkStart w:id="0" w:name="_GoBack"/>
      <w:bookmarkEnd w:id="0"/>
      <w:r>
        <w:rPr>
          <w:noProof/>
        </w:rPr>
        <w:drawing>
          <wp:inline distT="0" distB="0" distL="0" distR="0">
            <wp:extent cx="5895975" cy="2087880"/>
            <wp:effectExtent l="0" t="0" r="0" b="0"/>
            <wp:docPr id="2" name="image2.png" descr="_Logo-uri FARA HORA-01"/>
            <wp:cNvGraphicFramePr/>
            <a:graphic xmlns:a="http://schemas.openxmlformats.org/drawingml/2006/main">
              <a:graphicData uri="http://schemas.openxmlformats.org/drawingml/2006/picture">
                <pic:pic xmlns:pic="http://schemas.openxmlformats.org/drawingml/2006/picture">
                  <pic:nvPicPr>
                    <pic:cNvPr id="0" name="image2.png" descr="_Logo-uri FARA HORA-01"/>
                    <pic:cNvPicPr preferRelativeResize="0"/>
                  </pic:nvPicPr>
                  <pic:blipFill>
                    <a:blip r:embed="rId7"/>
                    <a:srcRect/>
                    <a:stretch>
                      <a:fillRect/>
                    </a:stretch>
                  </pic:blipFill>
                  <pic:spPr>
                    <a:xfrm>
                      <a:off x="0" y="0"/>
                      <a:ext cx="5895975" cy="2087880"/>
                    </a:xfrm>
                    <a:prstGeom prst="rect">
                      <a:avLst/>
                    </a:prstGeom>
                    <a:ln/>
                  </pic:spPr>
                </pic:pic>
              </a:graphicData>
            </a:graphic>
          </wp:inline>
        </w:drawing>
      </w:r>
    </w:p>
    <w:p w:rsidR="00610FF5" w:rsidRDefault="005831CC">
      <w:pPr>
        <w:jc w:val="center"/>
        <w:rPr>
          <w:b/>
          <w:i/>
          <w:sz w:val="24"/>
          <w:szCs w:val="24"/>
        </w:rPr>
      </w:pPr>
      <w:r>
        <w:rPr>
          <w:b/>
          <w:i/>
          <w:sz w:val="24"/>
          <w:szCs w:val="24"/>
        </w:rPr>
        <w:t>Experții în sănătate din organizațiile membre ale Inițiativei 2035-Prima Generație Fără Tutun a României denunță interferența industriei tutunului și a altor industrii cu interese comerciale directe în dezbaterile legate de adoptarea politicilor de sănătat</w:t>
      </w:r>
      <w:r>
        <w:rPr>
          <w:b/>
          <w:i/>
          <w:sz w:val="24"/>
          <w:szCs w:val="24"/>
        </w:rPr>
        <w:t>e publică</w:t>
      </w:r>
    </w:p>
    <w:p w:rsidR="00610FF5" w:rsidRDefault="00610FF5">
      <w:pPr>
        <w:spacing w:after="0"/>
        <w:ind w:firstLine="418"/>
        <w:jc w:val="both"/>
        <w:rPr>
          <w:sz w:val="20"/>
          <w:szCs w:val="20"/>
        </w:rPr>
      </w:pPr>
    </w:p>
    <w:p w:rsidR="00610FF5" w:rsidRDefault="005831CC">
      <w:pPr>
        <w:spacing w:after="120"/>
        <w:ind w:firstLine="418"/>
        <w:jc w:val="both"/>
        <w:rPr>
          <w:sz w:val="20"/>
          <w:szCs w:val="20"/>
        </w:rPr>
      </w:pPr>
      <w:r>
        <w:rPr>
          <w:sz w:val="20"/>
          <w:szCs w:val="20"/>
        </w:rPr>
        <w:t>În data de 21 Martie 2018, cele peste 350 de organizații membre ale Inițiativei 2035 Fără Tutun- asociațiile medicale, academice, liderii facultăților de medicină, organizațiile de tineret și copii, au solicitat printr-un document de poziție aut</w:t>
      </w:r>
      <w:r>
        <w:rPr>
          <w:sz w:val="20"/>
          <w:szCs w:val="20"/>
        </w:rPr>
        <w:t>orităților române să inițieze modificările legislative care să adreseze situația de ”</w:t>
      </w:r>
      <w:r>
        <w:rPr>
          <w:b/>
          <w:sz w:val="20"/>
          <w:szCs w:val="20"/>
        </w:rPr>
        <w:t>urgență de sănătate publică</w:t>
      </w:r>
      <w:r>
        <w:rPr>
          <w:sz w:val="20"/>
          <w:szCs w:val="20"/>
        </w:rPr>
        <w:t>” reprezentată de consumul de tutun în rândul adolescenților și tinerilor în România. Pe baza datelor existente furnizate de Institutul Național</w:t>
      </w:r>
      <w:r>
        <w:rPr>
          <w:sz w:val="20"/>
          <w:szCs w:val="20"/>
        </w:rPr>
        <w:t xml:space="preserve"> de Sănătate Publică și de ultimele studii în rândul acestor categorii de vârstă(GYTS 2013, HBSC 2014, Johns Hopkins 2016), în ciuda evoluției pozitive începând cu anul 2004, în România copiii fumează curent în procent mult mai mare comparativ cu alte țări</w:t>
      </w:r>
      <w:r>
        <w:rPr>
          <w:sz w:val="20"/>
          <w:szCs w:val="20"/>
        </w:rPr>
        <w:t xml:space="preserve"> europene, situând țara noastră pe locul 4, respectiv 7 în topul adolescenților de 13 ani, respectiv 15 ani, care fumează săptămânal. </w:t>
      </w:r>
    </w:p>
    <w:p w:rsidR="00610FF5" w:rsidRDefault="005831CC">
      <w:pPr>
        <w:spacing w:after="120"/>
        <w:ind w:firstLine="418"/>
        <w:jc w:val="both"/>
        <w:rPr>
          <w:sz w:val="20"/>
          <w:szCs w:val="20"/>
        </w:rPr>
      </w:pPr>
      <w:r>
        <w:rPr>
          <w:sz w:val="20"/>
          <w:szCs w:val="20"/>
        </w:rPr>
        <w:t xml:space="preserve">De aceea, organizațiile membre ale Inițiativei 2035 Fără Tutun consideră că </w:t>
      </w:r>
      <w:r>
        <w:rPr>
          <w:b/>
          <w:sz w:val="20"/>
          <w:szCs w:val="20"/>
        </w:rPr>
        <w:t>autoritățile române trebuie să intervină ferm</w:t>
      </w:r>
      <w:r>
        <w:rPr>
          <w:b/>
          <w:sz w:val="20"/>
          <w:szCs w:val="20"/>
        </w:rPr>
        <w:t xml:space="preserve"> și consecvent pentru accelerarea scăderii numărului de copii și tineri care încearcă și ulterior continuă consumul produselor din tutun.</w:t>
      </w:r>
      <w:r>
        <w:rPr>
          <w:sz w:val="20"/>
          <w:szCs w:val="20"/>
        </w:rPr>
        <w:t xml:space="preserve"> </w:t>
      </w:r>
    </w:p>
    <w:p w:rsidR="00610FF5" w:rsidRDefault="005831CC">
      <w:pPr>
        <w:spacing w:after="120"/>
        <w:ind w:firstLine="418"/>
        <w:jc w:val="both"/>
        <w:rPr>
          <w:sz w:val="20"/>
          <w:szCs w:val="20"/>
        </w:rPr>
      </w:pPr>
      <w:r>
        <w:rPr>
          <w:sz w:val="20"/>
          <w:szCs w:val="20"/>
        </w:rPr>
        <w:t xml:space="preserve">Ulterior acestei poziții clare și exprimate fără echivoc observăm, fără surprindere, asaltul agresiv cu iz comercial </w:t>
      </w:r>
      <w:r>
        <w:rPr>
          <w:sz w:val="20"/>
          <w:szCs w:val="20"/>
        </w:rPr>
        <w:t>al industriei tutunului și al industriilor conexe. Campanii ale unor anumite canale media care beneficiază de diverse forme de sponsorizare din partea industriei tutunului sunt menite să blocheze și să discrediteze eforturile organizațiilor cu preocupare c</w:t>
      </w:r>
      <w:r>
        <w:rPr>
          <w:sz w:val="20"/>
          <w:szCs w:val="20"/>
        </w:rPr>
        <w:t xml:space="preserve">onstantă pentru reducerea consumului de tutun în România. </w:t>
      </w:r>
    </w:p>
    <w:p w:rsidR="00610FF5" w:rsidRDefault="005831CC">
      <w:pPr>
        <w:spacing w:after="120"/>
        <w:ind w:firstLine="418"/>
        <w:jc w:val="both"/>
        <w:rPr>
          <w:sz w:val="20"/>
          <w:szCs w:val="20"/>
        </w:rPr>
      </w:pPr>
      <w:r>
        <w:rPr>
          <w:sz w:val="20"/>
          <w:szCs w:val="20"/>
        </w:rPr>
        <w:t>Considerăm că este de datoria experților în sănătate publică care s-au alăturat voluntar acestei campanii să ia poziție față de aceste încercări și să reafirmăm determinarea membrilor Inițiativei 2</w:t>
      </w:r>
      <w:r>
        <w:rPr>
          <w:sz w:val="20"/>
          <w:szCs w:val="20"/>
        </w:rPr>
        <w:t xml:space="preserve">035 Fără Tutun de a oferi fundamentarea științifică și medicală a propunerilor noastre. </w:t>
      </w:r>
    </w:p>
    <w:p w:rsidR="00610FF5" w:rsidRDefault="005831CC">
      <w:pPr>
        <w:spacing w:after="120"/>
        <w:ind w:firstLine="418"/>
        <w:jc w:val="both"/>
        <w:rPr>
          <w:sz w:val="20"/>
          <w:szCs w:val="20"/>
        </w:rPr>
      </w:pPr>
      <w:r>
        <w:rPr>
          <w:sz w:val="20"/>
          <w:szCs w:val="20"/>
        </w:rPr>
        <w:t>În acest context, am observat tentativele de influențare a opiniei publice din România în a crede că diverse instituții europene din domeniul sănătății publice ar reco</w:t>
      </w:r>
      <w:r>
        <w:rPr>
          <w:sz w:val="20"/>
          <w:szCs w:val="20"/>
        </w:rPr>
        <w:t>manda anumite tipuri de produse din tutun, mai precis produsele din tutun încălzit. Se face, în toate aceste comunicări publice, o confuzie intenționată și vădit co-interesată între diversele tipuri de produse din tutun, în încercarea evidentă de a profita</w:t>
      </w:r>
      <w:r>
        <w:rPr>
          <w:sz w:val="20"/>
          <w:szCs w:val="20"/>
        </w:rPr>
        <w:t xml:space="preserve"> de reglementări aparținând unora dintre aceste categorii sau de lipsa de reglementare a altora. Aceasta este o </w:t>
      </w:r>
      <w:r>
        <w:rPr>
          <w:b/>
          <w:sz w:val="20"/>
          <w:szCs w:val="20"/>
        </w:rPr>
        <w:t>interpretare complet non-conformă cu realitatea</w:t>
      </w:r>
      <w:r>
        <w:rPr>
          <w:sz w:val="20"/>
          <w:szCs w:val="20"/>
        </w:rPr>
        <w:t xml:space="preserve"> și </w:t>
      </w:r>
      <w:r>
        <w:rPr>
          <w:b/>
          <w:sz w:val="20"/>
          <w:szCs w:val="20"/>
        </w:rPr>
        <w:t>complet neadaptată la situația de sănătate publică a României</w:t>
      </w:r>
      <w:r>
        <w:rPr>
          <w:sz w:val="20"/>
          <w:szCs w:val="20"/>
        </w:rPr>
        <w:t>.</w:t>
      </w:r>
    </w:p>
    <w:p w:rsidR="00610FF5" w:rsidRDefault="005831CC">
      <w:pPr>
        <w:spacing w:after="120"/>
        <w:ind w:firstLine="418"/>
        <w:jc w:val="both"/>
        <w:rPr>
          <w:sz w:val="20"/>
          <w:szCs w:val="20"/>
        </w:rPr>
      </w:pPr>
      <w:r>
        <w:rPr>
          <w:sz w:val="20"/>
          <w:szCs w:val="20"/>
        </w:rPr>
        <w:t xml:space="preserve">Se citează frecvent, în acest </w:t>
      </w:r>
      <w:r>
        <w:rPr>
          <w:sz w:val="20"/>
          <w:szCs w:val="20"/>
        </w:rPr>
        <w:t>context de manipulare și dezinformare condusă de entități cu interese comerciale, opinia așa-zis favorabilă ”noilor” tipuri de produse de tutun față de cele ”tradiționale”  a autorităților de sănătate publică din Regatul Unit al Marii Britanii și al Irland</w:t>
      </w:r>
      <w:r>
        <w:rPr>
          <w:sz w:val="20"/>
          <w:szCs w:val="20"/>
        </w:rPr>
        <w:t>ei de Nord. Precizăm, în acest sens, două aspecte relevante:</w:t>
      </w:r>
    </w:p>
    <w:p w:rsidR="00610FF5" w:rsidRDefault="005831CC">
      <w:pPr>
        <w:spacing w:after="120"/>
        <w:ind w:firstLine="418"/>
        <w:jc w:val="both"/>
        <w:rPr>
          <w:sz w:val="20"/>
          <w:szCs w:val="20"/>
        </w:rPr>
      </w:pPr>
      <w:r>
        <w:rPr>
          <w:sz w:val="20"/>
          <w:szCs w:val="20"/>
        </w:rPr>
        <w:t xml:space="preserve">- Regatul Unit înregistrează o prevalență a fumatului în rândul populației adulte de 15 % (față de aproape dublu în România) și </w:t>
      </w:r>
    </w:p>
    <w:p w:rsidR="00610FF5" w:rsidRDefault="005831CC">
      <w:pPr>
        <w:spacing w:after="120"/>
        <w:ind w:firstLine="418"/>
        <w:jc w:val="both"/>
        <w:rPr>
          <w:sz w:val="20"/>
          <w:szCs w:val="20"/>
        </w:rPr>
      </w:pPr>
      <w:r>
        <w:rPr>
          <w:sz w:val="20"/>
          <w:szCs w:val="20"/>
        </w:rPr>
        <w:lastRenderedPageBreak/>
        <w:t>- Regatul Unit are unele din cele mai stricte reglementări la nive</w:t>
      </w:r>
      <w:r>
        <w:rPr>
          <w:sz w:val="20"/>
          <w:szCs w:val="20"/>
        </w:rPr>
        <w:t>l european ale produselor din tutun, inclusiv în ceea ce privește  publicitatea, promovarea, sponsorizarea sau expunerea produselor din tutun (interzicere completă a afișării la locul de vânzare). Aceste reglementări stricte se aplică tuturor produselor di</w:t>
      </w:r>
      <w:r>
        <w:rPr>
          <w:sz w:val="20"/>
          <w:szCs w:val="20"/>
        </w:rPr>
        <w:t>n tutun, inclusiv formelor noi de livrare a nicotinei</w:t>
      </w:r>
      <w:r>
        <w:rPr>
          <w:sz w:val="20"/>
          <w:szCs w:val="20"/>
          <w:vertAlign w:val="superscript"/>
        </w:rPr>
        <w:footnoteReference w:id="1"/>
      </w:r>
      <w:r>
        <w:rPr>
          <w:sz w:val="20"/>
          <w:szCs w:val="20"/>
        </w:rPr>
        <w:t xml:space="preserve">. </w:t>
      </w:r>
    </w:p>
    <w:p w:rsidR="00610FF5" w:rsidRDefault="005831CC">
      <w:pPr>
        <w:spacing w:after="120"/>
        <w:ind w:firstLine="418"/>
        <w:jc w:val="both"/>
        <w:rPr>
          <w:sz w:val="20"/>
          <w:szCs w:val="20"/>
        </w:rPr>
      </w:pPr>
      <w:r>
        <w:rPr>
          <w:sz w:val="20"/>
          <w:szCs w:val="20"/>
        </w:rPr>
        <w:t>Insinuările că recomandările acestor organizații ar conduce la nevoia de reglementare specială și mai favorabilă comercial a unor produse din tutun față de altele sunt, ca atare, nesusținute de polit</w:t>
      </w:r>
      <w:r>
        <w:rPr>
          <w:sz w:val="20"/>
          <w:szCs w:val="20"/>
        </w:rPr>
        <w:t>icile aplicate exact în țările din care se citează în sens manipulatoriu. De asemenea, Regatul Unit&amp;Scoția, alături de Norvegia, Finlanda, țări citate de către promotorii manipulării comerciale, au strategii asumate la nivel guvernamental de reducere accel</w:t>
      </w:r>
      <w:r>
        <w:rPr>
          <w:sz w:val="20"/>
          <w:szCs w:val="20"/>
        </w:rPr>
        <w:t>erată chiar a consumului de tutun. Aceste state au adoptat politici extensive de reducere a consumului de produse din tutun astfel încât până în anii 2030, 2035 sau 2040, Irlanda, Scoția, Norvegia respectiv Finlanda să fie țări în care prevalența fumatului</w:t>
      </w:r>
      <w:r>
        <w:rPr>
          <w:sz w:val="20"/>
          <w:szCs w:val="20"/>
        </w:rPr>
        <w:t xml:space="preserve"> în rândul adulților să fie de maxim 5%, adică să fie țări </w:t>
      </w:r>
      <w:r>
        <w:rPr>
          <w:b/>
          <w:sz w:val="20"/>
          <w:szCs w:val="20"/>
        </w:rPr>
        <w:t>libere de tutun</w:t>
      </w:r>
      <w:r>
        <w:rPr>
          <w:sz w:val="20"/>
          <w:szCs w:val="20"/>
        </w:rPr>
        <w:t xml:space="preserve"> și nu numai de țigări sau fum.</w:t>
      </w:r>
      <w:r>
        <w:rPr>
          <w:sz w:val="20"/>
          <w:szCs w:val="20"/>
          <w:vertAlign w:val="superscript"/>
        </w:rPr>
        <w:footnoteReference w:id="2"/>
      </w:r>
    </w:p>
    <w:p w:rsidR="00610FF5" w:rsidRDefault="005831CC">
      <w:pPr>
        <w:spacing w:after="120"/>
        <w:ind w:firstLine="418"/>
        <w:jc w:val="both"/>
        <w:rPr>
          <w:sz w:val="20"/>
          <w:szCs w:val="20"/>
        </w:rPr>
      </w:pPr>
      <w:r>
        <w:rPr>
          <w:sz w:val="20"/>
          <w:szCs w:val="20"/>
        </w:rPr>
        <w:t>O atenție specială a fost acordată în aceste manipulări media produselor noi din tutun încălzit, în mod clar afectate comercial de perspectiva reglem</w:t>
      </w:r>
      <w:r>
        <w:rPr>
          <w:sz w:val="20"/>
          <w:szCs w:val="20"/>
        </w:rPr>
        <w:t xml:space="preserve">entării uniforme. În acest sens, denaturarea deciziei Comitetului de Experți al Food and Drug Administration din SUA (Ianuarie 2018) merită o analiză aprofundată din partea noastră, ca experți în sănătate publică. Comitetul a concluzionat că </w:t>
      </w:r>
      <w:r>
        <w:rPr>
          <w:b/>
          <w:sz w:val="20"/>
          <w:szCs w:val="20"/>
        </w:rPr>
        <w:t>dovezile preze</w:t>
      </w:r>
      <w:r>
        <w:rPr>
          <w:b/>
          <w:sz w:val="20"/>
          <w:szCs w:val="20"/>
        </w:rPr>
        <w:t>ntate de producător</w:t>
      </w:r>
      <w:r>
        <w:rPr>
          <w:sz w:val="20"/>
          <w:szCs w:val="20"/>
        </w:rPr>
        <w:t xml:space="preserve"> în susținerea afirmațiilor că produsul său reduce riscul de boli induse de consumul de tutun sau că are potențialul de a susține fumătorii pentru renunțarea la fumat </w:t>
      </w:r>
      <w:r>
        <w:rPr>
          <w:b/>
          <w:sz w:val="20"/>
          <w:szCs w:val="20"/>
        </w:rPr>
        <w:t>sunt insuficiente</w:t>
      </w:r>
      <w:r>
        <w:rPr>
          <w:sz w:val="20"/>
          <w:szCs w:val="20"/>
        </w:rPr>
        <w:t xml:space="preserve">. De asemenea, comitetul a concluzionat clar că </w:t>
      </w:r>
      <w:r>
        <w:rPr>
          <w:b/>
          <w:sz w:val="20"/>
          <w:szCs w:val="20"/>
        </w:rPr>
        <w:t>nu au</w:t>
      </w:r>
      <w:r>
        <w:rPr>
          <w:b/>
          <w:sz w:val="20"/>
          <w:szCs w:val="20"/>
        </w:rPr>
        <w:t xml:space="preserve"> fost oferite dovezi legate de impactul produsului asupra non-fumătorilor tineri </w:t>
      </w:r>
      <w:r>
        <w:rPr>
          <w:sz w:val="20"/>
          <w:szCs w:val="20"/>
        </w:rPr>
        <w:t>ș</w:t>
      </w:r>
      <w:r>
        <w:rPr>
          <w:sz w:val="20"/>
          <w:szCs w:val="20"/>
        </w:rPr>
        <w:t xml:space="preserve">i influențării acestora. Comitetul a admis că există </w:t>
      </w:r>
      <w:r>
        <w:rPr>
          <w:b/>
          <w:sz w:val="20"/>
          <w:szCs w:val="20"/>
        </w:rPr>
        <w:t>un nivel mai redus de expunere la substanțe toxice, însă acest lucru nu se corelează cu afirmațiile de reducere a unor bo</w:t>
      </w:r>
      <w:r>
        <w:rPr>
          <w:b/>
          <w:sz w:val="20"/>
          <w:szCs w:val="20"/>
        </w:rPr>
        <w:t>li</w:t>
      </w:r>
      <w:r>
        <w:rPr>
          <w:sz w:val="20"/>
          <w:szCs w:val="20"/>
        </w:rPr>
        <w:t xml:space="preserve"> induse de consum. Aceste concluzii sunt congruente cu rezultatele  unor studii foarte recente, independente care încep să fie publicate și care arată, printre altele, că aceste produse eliberează emisii de alte substanțe toxice decât cele din fumul clas</w:t>
      </w:r>
      <w:r>
        <w:rPr>
          <w:sz w:val="20"/>
          <w:szCs w:val="20"/>
        </w:rPr>
        <w:t>ic de țigară</w:t>
      </w:r>
      <w:r>
        <w:rPr>
          <w:sz w:val="20"/>
          <w:szCs w:val="20"/>
          <w:vertAlign w:val="superscript"/>
        </w:rPr>
        <w:footnoteReference w:id="3"/>
      </w:r>
      <w:r>
        <w:rPr>
          <w:sz w:val="20"/>
          <w:szCs w:val="20"/>
        </w:rPr>
        <w:t xml:space="preserve">. </w:t>
      </w:r>
    </w:p>
    <w:p w:rsidR="00610FF5" w:rsidRDefault="005831CC">
      <w:pPr>
        <w:spacing w:after="120"/>
        <w:ind w:firstLine="418"/>
        <w:jc w:val="both"/>
        <w:rPr>
          <w:sz w:val="20"/>
          <w:szCs w:val="20"/>
        </w:rPr>
      </w:pPr>
      <w:r>
        <w:rPr>
          <w:sz w:val="20"/>
          <w:szCs w:val="20"/>
        </w:rPr>
        <w:t>Separat, evaluarea Direcției de Sănătate Publică din Anglia (Public Health England) citată frecvent, realizată pe baza datelor disponibile până în iulie 2017, concluzionează că:</w:t>
      </w:r>
    </w:p>
    <w:p w:rsidR="00610FF5" w:rsidRDefault="005831CC">
      <w:pPr>
        <w:spacing w:after="120"/>
        <w:ind w:firstLine="418"/>
        <w:jc w:val="both"/>
        <w:rPr>
          <w:sz w:val="20"/>
          <w:szCs w:val="20"/>
        </w:rPr>
      </w:pPr>
      <w:r>
        <w:rPr>
          <w:sz w:val="20"/>
          <w:szCs w:val="20"/>
        </w:rPr>
        <w:t>- datele legate de impactul produselor din tutun încălzit se b</w:t>
      </w:r>
      <w:r>
        <w:rPr>
          <w:sz w:val="20"/>
          <w:szCs w:val="20"/>
        </w:rPr>
        <w:t xml:space="preserve">azează aproape exclusiv </w:t>
      </w:r>
      <w:r>
        <w:rPr>
          <w:b/>
          <w:sz w:val="20"/>
          <w:szCs w:val="20"/>
        </w:rPr>
        <w:t>pe studii finanțate de industria tutunului</w:t>
      </w:r>
      <w:r>
        <w:rPr>
          <w:sz w:val="20"/>
          <w:szCs w:val="20"/>
        </w:rPr>
        <w:t xml:space="preserve">, </w:t>
      </w:r>
    </w:p>
    <w:p w:rsidR="00610FF5" w:rsidRDefault="005831CC">
      <w:pPr>
        <w:spacing w:after="120"/>
        <w:ind w:firstLine="418"/>
        <w:jc w:val="both"/>
        <w:rPr>
          <w:sz w:val="20"/>
          <w:szCs w:val="20"/>
        </w:rPr>
      </w:pPr>
      <w:r>
        <w:rPr>
          <w:sz w:val="20"/>
          <w:szCs w:val="20"/>
        </w:rPr>
        <w:t xml:space="preserve">- studiile disponibile până la acel moment </w:t>
      </w:r>
      <w:r>
        <w:rPr>
          <w:b/>
          <w:sz w:val="20"/>
          <w:szCs w:val="20"/>
        </w:rPr>
        <w:t>nu au evaluat riscurile de expunere pasivă și nici riscurile asupra copiilor și tinerilor</w:t>
      </w:r>
      <w:r>
        <w:rPr>
          <w:sz w:val="20"/>
          <w:szCs w:val="20"/>
        </w:rPr>
        <w:t xml:space="preserve">. </w:t>
      </w:r>
    </w:p>
    <w:p w:rsidR="00610FF5" w:rsidRDefault="005831CC">
      <w:pPr>
        <w:spacing w:after="120"/>
        <w:ind w:firstLine="418"/>
        <w:jc w:val="both"/>
        <w:rPr>
          <w:sz w:val="20"/>
          <w:szCs w:val="20"/>
        </w:rPr>
      </w:pPr>
      <w:r>
        <w:rPr>
          <w:sz w:val="20"/>
          <w:szCs w:val="20"/>
        </w:rPr>
        <w:t xml:space="preserve">Ca atare, concluzia se referă clar la </w:t>
      </w:r>
      <w:r>
        <w:rPr>
          <w:b/>
          <w:sz w:val="20"/>
          <w:szCs w:val="20"/>
        </w:rPr>
        <w:t>nevoia de cerc</w:t>
      </w:r>
      <w:r>
        <w:rPr>
          <w:b/>
          <w:sz w:val="20"/>
          <w:szCs w:val="20"/>
        </w:rPr>
        <w:t>etări suplimentare</w:t>
      </w:r>
      <w:r>
        <w:rPr>
          <w:sz w:val="20"/>
          <w:szCs w:val="20"/>
        </w:rPr>
        <w:t xml:space="preserve"> pentru aceste produse și nicidecum la reglementarea lor specială, diferită de cea a produselor din tutun tradiționale.</w:t>
      </w:r>
    </w:p>
    <w:p w:rsidR="00610FF5" w:rsidRDefault="005831CC">
      <w:pPr>
        <w:spacing w:after="120"/>
        <w:ind w:firstLine="418"/>
        <w:jc w:val="both"/>
        <w:rPr>
          <w:sz w:val="20"/>
          <w:szCs w:val="20"/>
        </w:rPr>
      </w:pPr>
      <w:r>
        <w:rPr>
          <w:sz w:val="20"/>
          <w:szCs w:val="20"/>
        </w:rPr>
        <w:t xml:space="preserve">Începând cu jumătatea anului 2017, s-a observat </w:t>
      </w:r>
      <w:r>
        <w:rPr>
          <w:b/>
          <w:sz w:val="20"/>
          <w:szCs w:val="20"/>
        </w:rPr>
        <w:t>demararea publicării unor studii independente asupra noilor produse di</w:t>
      </w:r>
      <w:r>
        <w:rPr>
          <w:b/>
          <w:sz w:val="20"/>
          <w:szCs w:val="20"/>
        </w:rPr>
        <w:t>n tutun, care demonstrează, prin măsurători de laborator, atât profilul lor nesigur pentru expunerea non-utilizatorilor, cât și expunerea consumatorilor la substanțe toxice noi</w:t>
      </w:r>
      <w:r>
        <w:rPr>
          <w:sz w:val="20"/>
          <w:szCs w:val="20"/>
        </w:rPr>
        <w:t xml:space="preserve">, rezultate în urma încălzirii filtrului produsului. Mai mult, chiar din </w:t>
      </w:r>
      <w:r>
        <w:rPr>
          <w:sz w:val="20"/>
          <w:szCs w:val="20"/>
        </w:rPr>
        <w:lastRenderedPageBreak/>
        <w:t xml:space="preserve">datele </w:t>
      </w:r>
      <w:r>
        <w:rPr>
          <w:sz w:val="20"/>
          <w:szCs w:val="20"/>
        </w:rPr>
        <w:t>furnizate de producător reiese riscul de utilizare duală a produselor noi cu nicotină și a produselor clasice din tutun în spații publice închise</w:t>
      </w:r>
      <w:r>
        <w:rPr>
          <w:sz w:val="20"/>
          <w:szCs w:val="20"/>
          <w:vertAlign w:val="superscript"/>
        </w:rPr>
        <w:footnoteReference w:id="4"/>
      </w:r>
      <w:r>
        <w:rPr>
          <w:sz w:val="20"/>
          <w:szCs w:val="20"/>
        </w:rPr>
        <w:t xml:space="preserve">. </w:t>
      </w:r>
    </w:p>
    <w:p w:rsidR="00610FF5" w:rsidRDefault="005831CC">
      <w:pPr>
        <w:spacing w:after="120"/>
        <w:ind w:firstLine="418"/>
        <w:jc w:val="both"/>
        <w:rPr>
          <w:sz w:val="20"/>
          <w:szCs w:val="20"/>
        </w:rPr>
      </w:pPr>
      <w:r>
        <w:rPr>
          <w:sz w:val="20"/>
          <w:szCs w:val="20"/>
        </w:rPr>
        <w:t>De altfel, chiar afirmațiile producătorilor de astfel de produse indică admiterea faptului că ele nu sunt c</w:t>
      </w:r>
      <w:r>
        <w:rPr>
          <w:sz w:val="20"/>
          <w:szCs w:val="20"/>
        </w:rPr>
        <w:t xml:space="preserve">omplet sigure pentru utilizare în spații închise(conform declarațiilor publice ale reprezentanților producătorului). </w:t>
      </w:r>
    </w:p>
    <w:p w:rsidR="00610FF5" w:rsidRDefault="005831CC">
      <w:pPr>
        <w:spacing w:after="120"/>
        <w:ind w:firstLine="418"/>
        <w:jc w:val="both"/>
        <w:rPr>
          <w:sz w:val="20"/>
          <w:szCs w:val="20"/>
        </w:rPr>
      </w:pPr>
      <w:r>
        <w:rPr>
          <w:sz w:val="20"/>
          <w:szCs w:val="20"/>
        </w:rPr>
        <w:t xml:space="preserve">Argumentele de mai sus vin să fundamenteze principiul care stă la baza solicitării noastre către autoritățile române: </w:t>
      </w:r>
      <w:r>
        <w:rPr>
          <w:b/>
          <w:sz w:val="20"/>
          <w:szCs w:val="20"/>
        </w:rPr>
        <w:t xml:space="preserve">produsele ale căror </w:t>
      </w:r>
      <w:r>
        <w:rPr>
          <w:b/>
          <w:sz w:val="20"/>
          <w:szCs w:val="20"/>
        </w:rPr>
        <w:t>emisii sunt dovedite a fi nesigure pentru utilizare în spațiul public închis trebuie să fie interzise pentru a fi utilizate în aceste spații</w:t>
      </w:r>
      <w:r>
        <w:rPr>
          <w:sz w:val="20"/>
          <w:szCs w:val="20"/>
        </w:rPr>
        <w:t xml:space="preserve">. </w:t>
      </w:r>
    </w:p>
    <w:p w:rsidR="00610FF5" w:rsidRDefault="005831CC">
      <w:pPr>
        <w:spacing w:after="120"/>
        <w:ind w:firstLine="418"/>
        <w:jc w:val="both"/>
        <w:rPr>
          <w:sz w:val="20"/>
          <w:szCs w:val="20"/>
        </w:rPr>
      </w:pPr>
      <w:r>
        <w:rPr>
          <w:sz w:val="20"/>
          <w:szCs w:val="20"/>
        </w:rPr>
        <w:t>Există, într-adevăr diferențe  de reglementare a produselor din tutun și a țigărilor electronice între diferite ț</w:t>
      </w:r>
      <w:r>
        <w:rPr>
          <w:sz w:val="20"/>
          <w:szCs w:val="20"/>
        </w:rPr>
        <w:t>ări, mai ales în ceea ce privește taxarea ori publicitatea  Aceste diferențe țin, însă, de particularitățile de sănătate publică ale țării respective, de prevalența fumatului în rândul diverselor categorii de vârstă și de strategiile individuale hotărâte d</w:t>
      </w:r>
      <w:r>
        <w:rPr>
          <w:sz w:val="20"/>
          <w:szCs w:val="20"/>
        </w:rPr>
        <w:t>e către experții de sănătate publică, dar cu respectarea principiilor fundamentale ale Convenției Cadru privind Controlul Tutunului a Organizației Mondiale a Sănătății. Reglementările din diverse țări sunt, în marea lor majoritate, extrem de cuprinzătoare,</w:t>
      </w:r>
      <w:r>
        <w:rPr>
          <w:sz w:val="20"/>
          <w:szCs w:val="20"/>
        </w:rPr>
        <w:t xml:space="preserve"> mergând până la interzicerea totală a unor tipuri de produse din tutun (incluzându-le pe cele încălzite) sau țigări electronice</w:t>
      </w:r>
      <w:r>
        <w:rPr>
          <w:sz w:val="20"/>
          <w:szCs w:val="20"/>
          <w:vertAlign w:val="superscript"/>
        </w:rPr>
        <w:footnoteReference w:id="5"/>
      </w:r>
      <w:r>
        <w:rPr>
          <w:sz w:val="20"/>
          <w:szCs w:val="20"/>
        </w:rPr>
        <w:t xml:space="preserve">. </w:t>
      </w:r>
    </w:p>
    <w:p w:rsidR="00610FF5" w:rsidRDefault="005831CC">
      <w:pPr>
        <w:spacing w:after="120"/>
        <w:ind w:firstLine="418"/>
        <w:jc w:val="both"/>
        <w:rPr>
          <w:sz w:val="20"/>
          <w:szCs w:val="20"/>
        </w:rPr>
      </w:pPr>
      <w:r>
        <w:rPr>
          <w:sz w:val="20"/>
          <w:szCs w:val="20"/>
        </w:rPr>
        <w:t>Într-o recomandare din anul 2018, forumul global al sănătații, Organizația Mondială a Sănătății, a reafirmat nevoia reglementării unitare a oricărui produs din tutun ca un produs adictiv deoarece consumul de tutun reprezintă cauza nr. 1 de boală prevenibil</w:t>
      </w:r>
      <w:r>
        <w:rPr>
          <w:sz w:val="20"/>
          <w:szCs w:val="20"/>
        </w:rPr>
        <w:t>ă în lume.</w:t>
      </w:r>
    </w:p>
    <w:p w:rsidR="00610FF5" w:rsidRDefault="005831CC">
      <w:pPr>
        <w:spacing w:after="120"/>
        <w:ind w:firstLine="418"/>
        <w:jc w:val="both"/>
        <w:rPr>
          <w:sz w:val="20"/>
          <w:szCs w:val="20"/>
        </w:rPr>
      </w:pPr>
      <w:r>
        <w:rPr>
          <w:sz w:val="20"/>
          <w:szCs w:val="20"/>
        </w:rPr>
        <w:t xml:space="preserve">Nu în ultimul rând, dorim să readucem aminte istoricul dovedit de manipulare al industriei tutunului. Solicităm atât mass-media, cât și autorităților statului român să respecte principiile Convenției Cadru privind Controlul Tutunului, transpusă </w:t>
      </w:r>
      <w:r>
        <w:rPr>
          <w:sz w:val="20"/>
          <w:szCs w:val="20"/>
        </w:rPr>
        <w:t xml:space="preserve">în legea nr. 332/2005, inclusiv cele legate de </w:t>
      </w:r>
      <w:r>
        <w:rPr>
          <w:b/>
          <w:sz w:val="20"/>
          <w:szCs w:val="20"/>
        </w:rPr>
        <w:t>prevenirea interferenței intereselor comerciale în procesele decizionale legate de sănătatea publică</w:t>
      </w:r>
      <w:r>
        <w:rPr>
          <w:sz w:val="20"/>
          <w:szCs w:val="20"/>
        </w:rPr>
        <w:t>. Manipulările cu interes comercial direct nu trebuie să devieze Guvernul și Parlamentul României de la îndep</w:t>
      </w:r>
      <w:r>
        <w:rPr>
          <w:sz w:val="20"/>
          <w:szCs w:val="20"/>
        </w:rPr>
        <w:t>linirea angajamentelor de sănătate publică asumate prin tratate internaționale și legi în vigoare</w:t>
      </w:r>
      <w:r>
        <w:rPr>
          <w:sz w:val="20"/>
          <w:szCs w:val="20"/>
          <w:vertAlign w:val="superscript"/>
        </w:rPr>
        <w:footnoteReference w:id="6"/>
      </w:r>
      <w:r>
        <w:rPr>
          <w:sz w:val="20"/>
          <w:szCs w:val="20"/>
        </w:rPr>
        <w:t>.</w:t>
      </w:r>
      <w:r>
        <w:rPr>
          <w:sz w:val="20"/>
          <w:szCs w:val="20"/>
          <w:highlight w:val="yellow"/>
        </w:rPr>
        <w:t xml:space="preserve"> </w:t>
      </w:r>
    </w:p>
    <w:p w:rsidR="00610FF5" w:rsidRDefault="00610FF5">
      <w:pPr>
        <w:spacing w:after="120"/>
        <w:ind w:firstLine="418"/>
        <w:jc w:val="both"/>
        <w:rPr>
          <w:sz w:val="20"/>
          <w:szCs w:val="20"/>
        </w:rPr>
      </w:pPr>
    </w:p>
    <w:p w:rsidR="00610FF5" w:rsidRDefault="005831CC">
      <w:pPr>
        <w:spacing w:after="120"/>
        <w:ind w:firstLine="418"/>
        <w:jc w:val="both"/>
        <w:rPr>
          <w:b/>
          <w:sz w:val="20"/>
          <w:szCs w:val="20"/>
        </w:rPr>
      </w:pPr>
      <w:r>
        <w:rPr>
          <w:b/>
          <w:sz w:val="20"/>
          <w:szCs w:val="20"/>
        </w:rPr>
        <w:t>În aceste condiții, cele peste 350 de organizații non-guvernamentale, medicale, academice, de protejare a drepturilor tinerilor și copiilor reînnoiesc sol</w:t>
      </w:r>
      <w:r>
        <w:rPr>
          <w:b/>
          <w:sz w:val="20"/>
          <w:szCs w:val="20"/>
        </w:rPr>
        <w:t>icitarea adresată Parlamentului și Guvernului României de adoptare de urgență a modificărilor legislative care să îndepărteze orice surse de publicitate și promovare, directă și indirectă, pentru produsele din tutun definite în mod cuprinzător, și de compl</w:t>
      </w:r>
      <w:r>
        <w:rPr>
          <w:b/>
          <w:sz w:val="20"/>
          <w:szCs w:val="20"/>
        </w:rPr>
        <w:t xml:space="preserve">etare a legislației din domeniul controlului tutunului care adresează direct prevenirea expunerii la efectele nocive ale acestora. </w:t>
      </w:r>
    </w:p>
    <w:p w:rsidR="00610FF5" w:rsidRDefault="005831CC">
      <w:pPr>
        <w:spacing w:after="120"/>
        <w:ind w:firstLine="418"/>
        <w:jc w:val="both"/>
        <w:rPr>
          <w:b/>
          <w:sz w:val="20"/>
          <w:szCs w:val="20"/>
        </w:rPr>
      </w:pPr>
      <w:bookmarkStart w:id="1" w:name="_gjdgxs" w:colFirst="0" w:colLast="0"/>
      <w:bookmarkEnd w:id="1"/>
      <w:r>
        <w:rPr>
          <w:b/>
          <w:sz w:val="20"/>
          <w:szCs w:val="20"/>
        </w:rPr>
        <w:t>Reafirmăm că avem obligația morală și legală de a crea un mediu social care să favorizeze opțiunea copiilor și adolescențilo</w:t>
      </w:r>
      <w:r>
        <w:rPr>
          <w:b/>
          <w:sz w:val="20"/>
          <w:szCs w:val="20"/>
        </w:rPr>
        <w:t>r de a rămâne nefumători și de a reduce impactul dramatic curent al consumului de tutun în rândul acestei categorii de vârstă.</w:t>
      </w:r>
    </w:p>
    <w:p w:rsidR="00610FF5" w:rsidRDefault="005831CC">
      <w:pPr>
        <w:spacing w:after="120"/>
        <w:jc w:val="both"/>
        <w:rPr>
          <w:b/>
          <w:sz w:val="24"/>
          <w:szCs w:val="24"/>
        </w:rPr>
      </w:pPr>
      <w:r>
        <w:rPr>
          <w:b/>
          <w:sz w:val="24"/>
          <w:szCs w:val="24"/>
        </w:rPr>
        <w:lastRenderedPageBreak/>
        <w:t>Semnatarii Inițiativei 2035-Prima Generație Fără Tutun a României- Experți Sănătate Publică</w:t>
      </w:r>
    </w:p>
    <w:p w:rsidR="00610FF5" w:rsidRDefault="005831CC">
      <w:pPr>
        <w:spacing w:after="120"/>
        <w:ind w:left="360"/>
        <w:rPr>
          <w:sz w:val="20"/>
          <w:szCs w:val="20"/>
        </w:rPr>
      </w:pPr>
      <w:r>
        <w:rPr>
          <w:sz w:val="20"/>
          <w:szCs w:val="20"/>
        </w:rPr>
        <w:t>Prof. Dr. Gheorghe Borcean, Președinte Colegiul Medicilor din România</w:t>
      </w:r>
    </w:p>
    <w:p w:rsidR="00610FF5" w:rsidRDefault="005831CC">
      <w:pPr>
        <w:spacing w:after="120"/>
        <w:ind w:left="360"/>
        <w:rPr>
          <w:sz w:val="20"/>
          <w:szCs w:val="20"/>
        </w:rPr>
      </w:pPr>
      <w:r>
        <w:rPr>
          <w:sz w:val="20"/>
          <w:szCs w:val="20"/>
        </w:rPr>
        <w:t>Academician Prof. Dr.  Victor Voicu, Preşedinte Secţia de Ştiinţe Medicale a Academiei Române</w:t>
      </w:r>
    </w:p>
    <w:p w:rsidR="00610FF5" w:rsidRDefault="005831CC">
      <w:pPr>
        <w:spacing w:after="120"/>
        <w:ind w:left="360"/>
        <w:rPr>
          <w:sz w:val="20"/>
          <w:szCs w:val="20"/>
        </w:rPr>
      </w:pPr>
      <w:r>
        <w:rPr>
          <w:sz w:val="20"/>
          <w:szCs w:val="20"/>
        </w:rPr>
        <w:t>Prof. Dr. Ruxandra Ulmeanu, Președinte Societatea Română de Pneumologie</w:t>
      </w:r>
    </w:p>
    <w:p w:rsidR="00610FF5" w:rsidRDefault="005831CC">
      <w:pPr>
        <w:spacing w:after="120"/>
        <w:ind w:left="360"/>
        <w:rPr>
          <w:sz w:val="20"/>
          <w:szCs w:val="20"/>
        </w:rPr>
      </w:pPr>
      <w:r>
        <w:rPr>
          <w:sz w:val="20"/>
          <w:szCs w:val="20"/>
        </w:rPr>
        <w:t>Prof. Dr. Florin Mih</w:t>
      </w:r>
      <w:r>
        <w:rPr>
          <w:sz w:val="20"/>
          <w:szCs w:val="20"/>
        </w:rPr>
        <w:t>ălțan, Fost Președinte al Societății Române de Pneumologie</w:t>
      </w:r>
    </w:p>
    <w:p w:rsidR="00610FF5" w:rsidRDefault="005831CC">
      <w:pPr>
        <w:spacing w:after="120"/>
        <w:ind w:left="360"/>
        <w:rPr>
          <w:sz w:val="20"/>
          <w:szCs w:val="20"/>
        </w:rPr>
      </w:pPr>
      <w:r>
        <w:rPr>
          <w:sz w:val="20"/>
          <w:szCs w:val="20"/>
        </w:rPr>
        <w:t>Prof. Dr. Dragoș Vinereanu, Președinte Societatea Română de Cardiologie</w:t>
      </w:r>
    </w:p>
    <w:p w:rsidR="00610FF5" w:rsidRDefault="005831CC">
      <w:pPr>
        <w:spacing w:after="120"/>
        <w:ind w:left="360"/>
        <w:rPr>
          <w:sz w:val="20"/>
          <w:szCs w:val="20"/>
        </w:rPr>
      </w:pPr>
      <w:r>
        <w:rPr>
          <w:sz w:val="20"/>
          <w:szCs w:val="20"/>
        </w:rPr>
        <w:t>Prof. Dr. Bogdan Alexandru Popescu, Președinte Ales al Societății Române de Cardiologie</w:t>
      </w:r>
    </w:p>
    <w:p w:rsidR="00610FF5" w:rsidRDefault="005831CC">
      <w:pPr>
        <w:spacing w:after="120"/>
        <w:ind w:left="360"/>
        <w:rPr>
          <w:sz w:val="20"/>
          <w:szCs w:val="20"/>
        </w:rPr>
      </w:pPr>
      <w:r>
        <w:rPr>
          <w:sz w:val="20"/>
          <w:szCs w:val="20"/>
        </w:rPr>
        <w:t xml:space="preserve">Dr. Gabriel Tatu-Chițoiu, Președinte </w:t>
      </w:r>
      <w:r>
        <w:rPr>
          <w:sz w:val="20"/>
          <w:szCs w:val="20"/>
        </w:rPr>
        <w:t>Fundația Română a Inimii</w:t>
      </w:r>
    </w:p>
    <w:p w:rsidR="00610FF5" w:rsidRDefault="005831CC">
      <w:pPr>
        <w:spacing w:after="120"/>
        <w:ind w:left="360"/>
        <w:rPr>
          <w:sz w:val="20"/>
          <w:szCs w:val="20"/>
        </w:rPr>
      </w:pPr>
      <w:r>
        <w:rPr>
          <w:sz w:val="20"/>
          <w:szCs w:val="20"/>
        </w:rPr>
        <w:t>Prof. Dr. Dan Gaiță, Președinte Forumul Național de Prevenție</w:t>
      </w:r>
    </w:p>
    <w:p w:rsidR="00610FF5" w:rsidRDefault="005831CC">
      <w:pPr>
        <w:spacing w:after="120"/>
        <w:ind w:left="360"/>
        <w:rPr>
          <w:sz w:val="20"/>
          <w:szCs w:val="20"/>
        </w:rPr>
      </w:pPr>
      <w:r>
        <w:rPr>
          <w:sz w:val="20"/>
          <w:szCs w:val="20"/>
        </w:rPr>
        <w:t>Prof. Dr. Mircea Beuran, Președinte al Senatului Universitar din Universitatea de Medicină și Farmacie Carol Davila București </w:t>
      </w:r>
    </w:p>
    <w:p w:rsidR="00610FF5" w:rsidRDefault="005831CC">
      <w:pPr>
        <w:spacing w:after="120"/>
        <w:ind w:left="360"/>
        <w:rPr>
          <w:sz w:val="20"/>
          <w:szCs w:val="20"/>
        </w:rPr>
      </w:pPr>
      <w:r>
        <w:rPr>
          <w:sz w:val="20"/>
          <w:szCs w:val="20"/>
        </w:rPr>
        <w:t>Prof. Dr. Mircea Cinteză, Universitatea de</w:t>
      </w:r>
      <w:r>
        <w:rPr>
          <w:sz w:val="20"/>
          <w:szCs w:val="20"/>
        </w:rPr>
        <w:t xml:space="preserve"> Medicină și Farmacie Carol Davila București</w:t>
      </w:r>
    </w:p>
    <w:p w:rsidR="00610FF5" w:rsidRDefault="005831CC">
      <w:pPr>
        <w:spacing w:after="120"/>
        <w:ind w:left="360"/>
        <w:rPr>
          <w:sz w:val="20"/>
          <w:szCs w:val="20"/>
        </w:rPr>
      </w:pPr>
      <w:r>
        <w:rPr>
          <w:sz w:val="20"/>
          <w:szCs w:val="20"/>
        </w:rPr>
        <w:t>Prof. Dr. Maria Sajin, Șef Departament Patologie, Universitatea de Medicină și Farmacie Carol Davila București</w:t>
      </w:r>
    </w:p>
    <w:p w:rsidR="00610FF5" w:rsidRDefault="005831CC">
      <w:pPr>
        <w:spacing w:after="120"/>
        <w:ind w:left="360"/>
        <w:rPr>
          <w:sz w:val="20"/>
          <w:szCs w:val="20"/>
        </w:rPr>
      </w:pPr>
      <w:r>
        <w:rPr>
          <w:sz w:val="20"/>
          <w:szCs w:val="20"/>
        </w:rPr>
        <w:t>Prof. Dr. Ion Bruckner, Președinte Societatea Română de Medicină Internă</w:t>
      </w:r>
    </w:p>
    <w:p w:rsidR="00610FF5" w:rsidRDefault="005831CC">
      <w:pPr>
        <w:spacing w:after="120"/>
        <w:ind w:left="360"/>
        <w:rPr>
          <w:sz w:val="20"/>
          <w:szCs w:val="20"/>
        </w:rPr>
      </w:pPr>
      <w:r>
        <w:rPr>
          <w:sz w:val="20"/>
          <w:szCs w:val="20"/>
        </w:rPr>
        <w:t>Prof. Dr. Mihai Ionac, Secr</w:t>
      </w:r>
      <w:r>
        <w:rPr>
          <w:sz w:val="20"/>
          <w:szCs w:val="20"/>
        </w:rPr>
        <w:t>etar General al Societății Române de Chirurgie Vasculară</w:t>
      </w:r>
    </w:p>
    <w:p w:rsidR="00610FF5" w:rsidRDefault="005831CC">
      <w:pPr>
        <w:spacing w:after="120"/>
        <w:ind w:left="360"/>
        <w:rPr>
          <w:sz w:val="20"/>
          <w:szCs w:val="20"/>
        </w:rPr>
      </w:pPr>
      <w:r>
        <w:rPr>
          <w:sz w:val="20"/>
          <w:szCs w:val="20"/>
        </w:rPr>
        <w:t xml:space="preserve">Prof. Dr. Roxana Silvia Bumbăcea, Președinte </w:t>
      </w:r>
      <w:r>
        <w:rPr>
          <w:sz w:val="20"/>
          <w:szCs w:val="20"/>
          <w:highlight w:val="white"/>
        </w:rPr>
        <w:t>Societatea</w:t>
      </w:r>
      <w:r>
        <w:rPr>
          <w:sz w:val="20"/>
          <w:szCs w:val="20"/>
          <w:highlight w:val="white"/>
        </w:rPr>
        <w:t> Română de </w:t>
      </w:r>
      <w:r>
        <w:rPr>
          <w:sz w:val="20"/>
          <w:szCs w:val="20"/>
          <w:highlight w:val="white"/>
        </w:rPr>
        <w:t>Alergologie</w:t>
      </w:r>
      <w:r>
        <w:rPr>
          <w:sz w:val="20"/>
          <w:szCs w:val="20"/>
          <w:highlight w:val="white"/>
        </w:rPr>
        <w:t> și Imunologie Clinică</w:t>
      </w:r>
    </w:p>
    <w:p w:rsidR="00610FF5" w:rsidRDefault="005831CC">
      <w:pPr>
        <w:spacing w:after="120"/>
        <w:ind w:left="360"/>
        <w:rPr>
          <w:sz w:val="20"/>
          <w:szCs w:val="20"/>
        </w:rPr>
      </w:pPr>
      <w:r>
        <w:rPr>
          <w:sz w:val="20"/>
          <w:szCs w:val="20"/>
        </w:rPr>
        <w:t>Prof. Dr.  Ioan Mircea Coman, Fost Președinte Fundația Română a Inimii</w:t>
      </w:r>
    </w:p>
    <w:p w:rsidR="00610FF5" w:rsidRDefault="005831CC">
      <w:pPr>
        <w:spacing w:after="120"/>
        <w:ind w:left="360"/>
        <w:rPr>
          <w:sz w:val="20"/>
          <w:szCs w:val="20"/>
        </w:rPr>
      </w:pPr>
      <w:r>
        <w:rPr>
          <w:sz w:val="20"/>
          <w:szCs w:val="20"/>
        </w:rPr>
        <w:t>Prof. Dr. Cătălina Poiană, P</w:t>
      </w:r>
      <w:r>
        <w:rPr>
          <w:sz w:val="20"/>
          <w:szCs w:val="20"/>
        </w:rPr>
        <w:t>reședinte Societatea Română de Endocrinologie</w:t>
      </w:r>
    </w:p>
    <w:p w:rsidR="00610FF5" w:rsidRDefault="005831CC">
      <w:pPr>
        <w:spacing w:after="120"/>
        <w:ind w:left="360"/>
        <w:rPr>
          <w:sz w:val="24"/>
          <w:szCs w:val="24"/>
        </w:rPr>
      </w:pPr>
      <w:r>
        <w:rPr>
          <w:sz w:val="20"/>
          <w:szCs w:val="20"/>
        </w:rPr>
        <w:t>Dr. Raed Arafat, Societatea de Medicină de Urgență și Catastrofă din România/Fundația pentru SMURD</w:t>
      </w:r>
      <w:r>
        <w:rPr>
          <w:sz w:val="24"/>
          <w:szCs w:val="24"/>
        </w:rPr>
        <w:t xml:space="preserve"> </w:t>
      </w:r>
    </w:p>
    <w:p w:rsidR="00610FF5" w:rsidRDefault="005831CC">
      <w:pPr>
        <w:spacing w:after="120"/>
        <w:ind w:left="360"/>
        <w:rPr>
          <w:sz w:val="20"/>
          <w:szCs w:val="20"/>
        </w:rPr>
      </w:pPr>
      <w:r>
        <w:rPr>
          <w:sz w:val="20"/>
          <w:szCs w:val="20"/>
        </w:rPr>
        <w:t>Prof. Dr. Miron Bogdan, Președinte Fundația Pneuma</w:t>
      </w:r>
    </w:p>
    <w:p w:rsidR="00610FF5" w:rsidRDefault="005831CC">
      <w:pPr>
        <w:spacing w:after="120"/>
        <w:ind w:left="360"/>
        <w:rPr>
          <w:sz w:val="20"/>
          <w:szCs w:val="20"/>
        </w:rPr>
      </w:pPr>
      <w:r>
        <w:rPr>
          <w:sz w:val="20"/>
          <w:szCs w:val="20"/>
        </w:rPr>
        <w:t>Prof. Dr. Cristian Vlădescu, Director General, Școala Națională de Sănătate Publică, Management și Perfecționare în Domeniul Sanitar</w:t>
      </w:r>
    </w:p>
    <w:p w:rsidR="00610FF5" w:rsidRDefault="005831CC">
      <w:pPr>
        <w:spacing w:after="120"/>
        <w:ind w:left="360"/>
        <w:rPr>
          <w:sz w:val="20"/>
          <w:szCs w:val="20"/>
        </w:rPr>
      </w:pPr>
      <w:r>
        <w:rPr>
          <w:sz w:val="20"/>
          <w:szCs w:val="20"/>
        </w:rPr>
        <w:t>Dr. Dina Mergeani, Președinte Societatea Națională de Medicină a Familiei</w:t>
      </w:r>
    </w:p>
    <w:p w:rsidR="00610FF5" w:rsidRDefault="005831CC">
      <w:pPr>
        <w:spacing w:after="120"/>
        <w:ind w:left="360"/>
        <w:rPr>
          <w:sz w:val="20"/>
          <w:szCs w:val="20"/>
        </w:rPr>
      </w:pPr>
      <w:r>
        <w:rPr>
          <w:sz w:val="20"/>
          <w:szCs w:val="20"/>
        </w:rPr>
        <w:t xml:space="preserve">Dr. Rodica Tănăsescu, Vice-Președinte Societatea </w:t>
      </w:r>
      <w:r>
        <w:rPr>
          <w:sz w:val="20"/>
          <w:szCs w:val="20"/>
        </w:rPr>
        <w:t>Națională de Medicină a Familiei</w:t>
      </w:r>
    </w:p>
    <w:p w:rsidR="00610FF5" w:rsidRDefault="005831CC">
      <w:pPr>
        <w:spacing w:after="120"/>
        <w:ind w:left="360"/>
        <w:rPr>
          <w:sz w:val="20"/>
          <w:szCs w:val="20"/>
        </w:rPr>
      </w:pPr>
      <w:r>
        <w:rPr>
          <w:sz w:val="20"/>
          <w:szCs w:val="20"/>
        </w:rPr>
        <w:t>Dr. Cristina Cornelia Isar, Centrul Național de Studii pentru Medicina Familiei/Grupul RespiRo al CNSMF/Societății Naționale de Medicină a Familiei</w:t>
      </w:r>
    </w:p>
    <w:p w:rsidR="00610FF5" w:rsidRDefault="005831CC">
      <w:pPr>
        <w:spacing w:after="120"/>
        <w:ind w:left="360"/>
        <w:rPr>
          <w:sz w:val="20"/>
          <w:szCs w:val="20"/>
        </w:rPr>
      </w:pPr>
      <w:r>
        <w:rPr>
          <w:sz w:val="20"/>
          <w:szCs w:val="20"/>
        </w:rPr>
        <w:t>Dr. Cătălina Panaitescu, Grupul RespiRo al CNSMF/Societății Naționale de Me</w:t>
      </w:r>
      <w:r>
        <w:rPr>
          <w:sz w:val="20"/>
          <w:szCs w:val="20"/>
        </w:rPr>
        <w:t>dicină a Familiei</w:t>
      </w:r>
    </w:p>
    <w:p w:rsidR="00610FF5" w:rsidRDefault="005831CC">
      <w:pPr>
        <w:spacing w:after="120"/>
        <w:ind w:left="360"/>
        <w:rPr>
          <w:sz w:val="20"/>
          <w:szCs w:val="20"/>
        </w:rPr>
      </w:pPr>
      <w:r>
        <w:rPr>
          <w:sz w:val="20"/>
          <w:szCs w:val="20"/>
        </w:rPr>
        <w:t>Dr. Valeria Herdea, Asociația Română pentru Educație Pediatrică în Medicina de Familie (AREPMF)</w:t>
      </w:r>
    </w:p>
    <w:p w:rsidR="00610FF5" w:rsidRDefault="005831CC">
      <w:pPr>
        <w:spacing w:after="120"/>
        <w:ind w:left="360"/>
        <w:rPr>
          <w:sz w:val="20"/>
          <w:szCs w:val="20"/>
        </w:rPr>
      </w:pPr>
      <w:r>
        <w:rPr>
          <w:sz w:val="20"/>
          <w:szCs w:val="20"/>
        </w:rPr>
        <w:t>Prof. Dr. Popescu Mircea Ioachim, Medic primar cardiolog, Șef Clinică Cardiologie Oradea</w:t>
      </w:r>
    </w:p>
    <w:p w:rsidR="00610FF5" w:rsidRDefault="005831CC">
      <w:pPr>
        <w:spacing w:after="120"/>
        <w:ind w:left="360"/>
        <w:rPr>
          <w:sz w:val="20"/>
          <w:szCs w:val="20"/>
        </w:rPr>
      </w:pPr>
      <w:r>
        <w:rPr>
          <w:sz w:val="20"/>
          <w:szCs w:val="20"/>
        </w:rPr>
        <w:t>Prof. Dr. Anca Dana Buzoianu, Decanul Facultății de M</w:t>
      </w:r>
      <w:r>
        <w:rPr>
          <w:sz w:val="20"/>
          <w:szCs w:val="20"/>
        </w:rPr>
        <w:t>edicină Iuliu Hațieganu, Universitatea de Medicină și Farmacie Cluj-Napoca, Președinte al Asociației Decanilor Facultăților de Medicină din România</w:t>
      </w:r>
    </w:p>
    <w:p w:rsidR="00610FF5" w:rsidRDefault="005831CC">
      <w:pPr>
        <w:spacing w:after="120"/>
        <w:ind w:left="360"/>
        <w:rPr>
          <w:sz w:val="20"/>
          <w:szCs w:val="20"/>
        </w:rPr>
      </w:pPr>
      <w:r>
        <w:rPr>
          <w:sz w:val="20"/>
          <w:szCs w:val="20"/>
        </w:rPr>
        <w:t>Prof. Dr. Doina Adina Todea, Universitatea de Medicină și Farmacie Cluj-Napoca Iuliu Hațieganu, Medic Primar</w:t>
      </w:r>
      <w:r>
        <w:rPr>
          <w:sz w:val="20"/>
          <w:szCs w:val="20"/>
        </w:rPr>
        <w:t xml:space="preserve"> Pneumologie, Membru în Comisia de Pneumologie a Ministerului Sănătății</w:t>
      </w:r>
    </w:p>
    <w:p w:rsidR="00610FF5" w:rsidRDefault="005831CC">
      <w:pPr>
        <w:spacing w:after="120"/>
        <w:ind w:left="360"/>
        <w:rPr>
          <w:sz w:val="20"/>
          <w:szCs w:val="20"/>
        </w:rPr>
      </w:pPr>
      <w:r>
        <w:rPr>
          <w:sz w:val="20"/>
          <w:szCs w:val="20"/>
        </w:rPr>
        <w:t>Prof. Univ. Dr. Călin Emilian Hințea, Decanul Facultății de Științe Politice, Administrative și ale Comunicării, Universitatea Babeș-Bolyai, Cluj-Napoca</w:t>
      </w:r>
    </w:p>
    <w:p w:rsidR="00610FF5" w:rsidRDefault="005831CC">
      <w:pPr>
        <w:spacing w:after="120"/>
        <w:ind w:left="360"/>
        <w:rPr>
          <w:sz w:val="20"/>
          <w:szCs w:val="20"/>
        </w:rPr>
      </w:pPr>
      <w:r>
        <w:rPr>
          <w:sz w:val="20"/>
          <w:szCs w:val="20"/>
        </w:rPr>
        <w:t>Prof. Dr. Leonard Azamfirei, Rectorul Universității de Medicină și Farmacie Tîrgu Mureș</w:t>
      </w:r>
    </w:p>
    <w:p w:rsidR="00610FF5" w:rsidRDefault="005831CC">
      <w:pPr>
        <w:shd w:val="clear" w:color="auto" w:fill="FFFFFF"/>
        <w:spacing w:after="120"/>
        <w:ind w:left="360"/>
        <w:rPr>
          <w:sz w:val="20"/>
          <w:szCs w:val="20"/>
        </w:rPr>
      </w:pPr>
      <w:r>
        <w:rPr>
          <w:sz w:val="20"/>
          <w:szCs w:val="20"/>
        </w:rPr>
        <w:t>Prof. Dr. Kikeli Pal Istvan, Preşedinte Fundaţia Procardia</w:t>
      </w:r>
    </w:p>
    <w:p w:rsidR="00610FF5" w:rsidRDefault="005831CC">
      <w:pPr>
        <w:spacing w:after="120"/>
        <w:ind w:left="360"/>
        <w:rPr>
          <w:sz w:val="20"/>
          <w:szCs w:val="20"/>
        </w:rPr>
      </w:pPr>
      <w:r>
        <w:rPr>
          <w:sz w:val="20"/>
          <w:szCs w:val="20"/>
        </w:rPr>
        <w:lastRenderedPageBreak/>
        <w:t>Prof. Dr. Zoltan Abram, Universitatea de Medicină și Farmacie Tîrgu Mureș</w:t>
      </w:r>
    </w:p>
    <w:p w:rsidR="00610FF5" w:rsidRDefault="005831CC">
      <w:pPr>
        <w:spacing w:after="120"/>
        <w:ind w:left="360"/>
        <w:rPr>
          <w:rFonts w:ascii="Bookman Old Style" w:eastAsia="Bookman Old Style" w:hAnsi="Bookman Old Style" w:cs="Bookman Old Style"/>
          <w:sz w:val="24"/>
          <w:szCs w:val="24"/>
        </w:rPr>
      </w:pPr>
      <w:r>
        <w:rPr>
          <w:sz w:val="20"/>
          <w:szCs w:val="20"/>
        </w:rPr>
        <w:t>Prof. Univ. Dr. Monica Tarcea, Disc</w:t>
      </w:r>
      <w:r>
        <w:rPr>
          <w:sz w:val="20"/>
          <w:szCs w:val="20"/>
        </w:rPr>
        <w:t xml:space="preserve">iplina de Nutriție Comunitară și Igiena Alimentelor, Universitatea de Medicină şi Farmacie Tîrgu Mureş </w:t>
      </w:r>
    </w:p>
    <w:p w:rsidR="00610FF5" w:rsidRDefault="005831CC">
      <w:pPr>
        <w:spacing w:after="120"/>
        <w:ind w:left="360"/>
        <w:rPr>
          <w:sz w:val="20"/>
          <w:szCs w:val="20"/>
        </w:rPr>
      </w:pPr>
      <w:r>
        <w:rPr>
          <w:sz w:val="20"/>
          <w:szCs w:val="20"/>
        </w:rPr>
        <w:t>Conf. Dr. Valentin Nădășan, Universitatea de Medicină și Farmacie Tîrgu Mureș</w:t>
      </w:r>
    </w:p>
    <w:p w:rsidR="00610FF5" w:rsidRDefault="005831CC">
      <w:pPr>
        <w:spacing w:after="120"/>
        <w:ind w:left="360"/>
        <w:rPr>
          <w:sz w:val="20"/>
          <w:szCs w:val="20"/>
        </w:rPr>
      </w:pPr>
      <w:r>
        <w:rPr>
          <w:sz w:val="20"/>
          <w:szCs w:val="20"/>
        </w:rPr>
        <w:t>Prof. Univ. Dr. Sorin Rugină – Rectorul Universității Ovidius din Constanț</w:t>
      </w:r>
      <w:r>
        <w:rPr>
          <w:sz w:val="20"/>
          <w:szCs w:val="20"/>
        </w:rPr>
        <w:t>a</w:t>
      </w:r>
    </w:p>
    <w:p w:rsidR="00610FF5" w:rsidRDefault="005831CC">
      <w:pPr>
        <w:spacing w:after="120"/>
        <w:ind w:left="360"/>
        <w:rPr>
          <w:sz w:val="20"/>
          <w:szCs w:val="20"/>
        </w:rPr>
      </w:pPr>
      <w:r>
        <w:rPr>
          <w:sz w:val="20"/>
          <w:szCs w:val="20"/>
        </w:rPr>
        <w:t>Conf.dr. Antigona Trofor, Coordonator al Ghidului Societății Române de Pneumologie pentru renunțare la fumat și asistența de specialitate a fumătorului</w:t>
      </w:r>
    </w:p>
    <w:p w:rsidR="00610FF5" w:rsidRDefault="005831CC">
      <w:pPr>
        <w:spacing w:after="120"/>
        <w:ind w:left="360"/>
        <w:rPr>
          <w:sz w:val="20"/>
          <w:szCs w:val="20"/>
        </w:rPr>
      </w:pPr>
      <w:r>
        <w:rPr>
          <w:sz w:val="20"/>
          <w:szCs w:val="20"/>
        </w:rPr>
        <w:t>Ș</w:t>
      </w:r>
      <w:r>
        <w:rPr>
          <w:sz w:val="20"/>
          <w:szCs w:val="20"/>
        </w:rPr>
        <w:t>ef de Lucrări Dr. Ștefan Dan Mihăicuța, Universitatea de Medicină și Farmacie „Victor Babeș” Timișoar</w:t>
      </w:r>
      <w:r>
        <w:rPr>
          <w:sz w:val="20"/>
          <w:szCs w:val="20"/>
        </w:rPr>
        <w:t>a, Fundația Cardioprevent</w:t>
      </w:r>
    </w:p>
    <w:p w:rsidR="00610FF5" w:rsidRDefault="005831CC">
      <w:pPr>
        <w:spacing w:after="120"/>
        <w:ind w:left="360"/>
        <w:rPr>
          <w:sz w:val="20"/>
          <w:szCs w:val="20"/>
        </w:rPr>
      </w:pPr>
      <w:r>
        <w:rPr>
          <w:sz w:val="20"/>
          <w:szCs w:val="20"/>
        </w:rPr>
        <w:t>Conf. Dr. Carmen Orban, Manager Institutul Clinic Fundeni</w:t>
      </w:r>
    </w:p>
    <w:p w:rsidR="00610FF5" w:rsidRDefault="005831CC">
      <w:pPr>
        <w:shd w:val="clear" w:color="auto" w:fill="FFFFFF"/>
        <w:spacing w:after="120"/>
        <w:ind w:left="360"/>
        <w:rPr>
          <w:sz w:val="20"/>
          <w:szCs w:val="20"/>
        </w:rPr>
      </w:pPr>
      <w:r>
        <w:rPr>
          <w:sz w:val="20"/>
          <w:szCs w:val="20"/>
        </w:rPr>
        <w:t>Conf. Dr. Oana Arghir, Facultatea de Medicină Universitatea Ovidius din Constanța, Director Medical Spitalul Clinic de Pneumoftiziologie Constanța</w:t>
      </w:r>
    </w:p>
    <w:p w:rsidR="00610FF5" w:rsidRDefault="005831CC">
      <w:pPr>
        <w:spacing w:after="120"/>
        <w:ind w:left="360"/>
        <w:rPr>
          <w:sz w:val="20"/>
          <w:szCs w:val="20"/>
        </w:rPr>
      </w:pPr>
      <w:r>
        <w:rPr>
          <w:sz w:val="20"/>
          <w:szCs w:val="20"/>
        </w:rPr>
        <w:t xml:space="preserve">Dr. Edith Simona Ianosi, </w:t>
      </w:r>
      <w:r>
        <w:rPr>
          <w:sz w:val="20"/>
          <w:szCs w:val="20"/>
        </w:rPr>
        <w:t>Clinica Pneumologie Tîrgu Mureș</w:t>
      </w:r>
    </w:p>
    <w:p w:rsidR="00610FF5" w:rsidRDefault="005831CC">
      <w:pPr>
        <w:spacing w:after="120"/>
        <w:ind w:left="360"/>
        <w:rPr>
          <w:sz w:val="24"/>
          <w:szCs w:val="24"/>
        </w:rPr>
      </w:pPr>
      <w:r>
        <w:rPr>
          <w:sz w:val="20"/>
          <w:szCs w:val="20"/>
        </w:rPr>
        <w:t xml:space="preserve">Dr. Cristian Meghea, Director Proiect-Departamentul de Sănătate Publică, </w:t>
      </w:r>
      <w:r>
        <w:rPr>
          <w:color w:val="222222"/>
          <w:sz w:val="20"/>
          <w:szCs w:val="20"/>
          <w:highlight w:val="white"/>
        </w:rPr>
        <w:t>Facultatea de Știinte Politice, Administrative și ale Comunicării/</w:t>
      </w:r>
      <w:r>
        <w:rPr>
          <w:sz w:val="20"/>
          <w:szCs w:val="20"/>
        </w:rPr>
        <w:t>Universitatea Babeș-Bolyai Cluj-Napoca și Michigan State University</w:t>
      </w:r>
    </w:p>
    <w:p w:rsidR="00610FF5" w:rsidRDefault="005831CC">
      <w:pPr>
        <w:shd w:val="clear" w:color="auto" w:fill="FFFFFF"/>
        <w:spacing w:after="120"/>
        <w:ind w:left="360"/>
        <w:rPr>
          <w:sz w:val="24"/>
          <w:szCs w:val="24"/>
        </w:rPr>
      </w:pPr>
      <w:r>
        <w:rPr>
          <w:sz w:val="20"/>
          <w:szCs w:val="20"/>
        </w:rPr>
        <w:t>Dr. Daniel Mardare-Direcția de Sănătate Publică Iași</w:t>
      </w:r>
    </w:p>
    <w:p w:rsidR="00610FF5" w:rsidRDefault="005831CC">
      <w:pPr>
        <w:spacing w:after="120"/>
        <w:ind w:left="360"/>
        <w:rPr>
          <w:sz w:val="20"/>
          <w:szCs w:val="20"/>
        </w:rPr>
      </w:pPr>
      <w:r>
        <w:rPr>
          <w:sz w:val="20"/>
          <w:szCs w:val="20"/>
        </w:rPr>
        <w:t>Dr. Magdalena Ciobanu, Expert al Organizației Mondiale a Sănătății pentru Controlul Tutunului</w:t>
      </w:r>
    </w:p>
    <w:p w:rsidR="00610FF5" w:rsidRDefault="005831CC">
      <w:pPr>
        <w:spacing w:after="120"/>
        <w:ind w:firstLine="360"/>
        <w:rPr>
          <w:sz w:val="20"/>
          <w:szCs w:val="20"/>
        </w:rPr>
      </w:pPr>
      <w:r>
        <w:rPr>
          <w:sz w:val="20"/>
          <w:szCs w:val="20"/>
        </w:rPr>
        <w:t xml:space="preserve">Dr. Teodora Ciolompea, Manager Centrul de Evaluare și Tratament al Toxicodependențelor pentru Tineri Sfântul </w:t>
      </w:r>
      <w:r>
        <w:rPr>
          <w:sz w:val="20"/>
          <w:szCs w:val="20"/>
        </w:rPr>
        <w:t>Stelian, București</w:t>
      </w:r>
    </w:p>
    <w:p w:rsidR="00610FF5" w:rsidRDefault="005831CC">
      <w:pPr>
        <w:spacing w:after="120"/>
        <w:ind w:left="360"/>
        <w:rPr>
          <w:sz w:val="20"/>
          <w:szCs w:val="20"/>
        </w:rPr>
      </w:pPr>
      <w:r>
        <w:rPr>
          <w:sz w:val="20"/>
          <w:szCs w:val="20"/>
        </w:rPr>
        <w:t>Dr. Alexandra Cucu, Institutul Național de Sănătate Publică</w:t>
      </w:r>
    </w:p>
    <w:p w:rsidR="00610FF5" w:rsidRDefault="005831CC">
      <w:pPr>
        <w:spacing w:after="120"/>
        <w:ind w:left="360"/>
        <w:rPr>
          <w:sz w:val="20"/>
          <w:szCs w:val="20"/>
        </w:rPr>
      </w:pPr>
      <w:r>
        <w:rPr>
          <w:sz w:val="20"/>
          <w:szCs w:val="20"/>
        </w:rPr>
        <w:t>Conf. Dr. Florentina Furtunescu, Institutul Național de Sănătate Publică</w:t>
      </w:r>
    </w:p>
    <w:p w:rsidR="00610FF5" w:rsidRDefault="005831CC">
      <w:pPr>
        <w:spacing w:after="120"/>
        <w:ind w:left="360"/>
        <w:rPr>
          <w:sz w:val="20"/>
          <w:szCs w:val="20"/>
        </w:rPr>
      </w:pPr>
      <w:r>
        <w:rPr>
          <w:sz w:val="20"/>
          <w:szCs w:val="20"/>
        </w:rPr>
        <w:t>Dr. Marius Geantă, Președinte Centrul pentru Inovație în Medicină</w:t>
      </w:r>
    </w:p>
    <w:p w:rsidR="00610FF5" w:rsidRDefault="005831CC">
      <w:pPr>
        <w:spacing w:after="120"/>
        <w:ind w:left="360"/>
        <w:rPr>
          <w:sz w:val="20"/>
          <w:szCs w:val="20"/>
        </w:rPr>
      </w:pPr>
      <w:r>
        <w:rPr>
          <w:sz w:val="20"/>
          <w:szCs w:val="20"/>
        </w:rPr>
        <w:t>Cornel Radu-Loghin, Secretar General E</w:t>
      </w:r>
      <w:r>
        <w:rPr>
          <w:sz w:val="20"/>
          <w:szCs w:val="20"/>
        </w:rPr>
        <w:t>uropean Network for Smoking and Tobacco Prevention</w:t>
      </w:r>
    </w:p>
    <w:p w:rsidR="00610FF5" w:rsidRDefault="00610FF5">
      <w:pPr>
        <w:spacing w:after="120"/>
        <w:ind w:left="360"/>
        <w:rPr>
          <w:sz w:val="20"/>
          <w:szCs w:val="20"/>
        </w:rPr>
      </w:pPr>
    </w:p>
    <w:p w:rsidR="00610FF5" w:rsidRDefault="005831CC">
      <w:pPr>
        <w:spacing w:after="120"/>
        <w:rPr>
          <w:sz w:val="20"/>
          <w:szCs w:val="20"/>
        </w:rPr>
      </w:pPr>
      <w:r>
        <w:rPr>
          <w:sz w:val="20"/>
          <w:szCs w:val="20"/>
        </w:rPr>
        <w:t>Lista completă a organizațiilor și persoanelor fizice susținătoare ale Inițiativei 2035 Fără Tutun poate fi regăsită la adresa-</w:t>
      </w:r>
    </w:p>
    <w:p w:rsidR="00610FF5" w:rsidRDefault="005831CC">
      <w:pPr>
        <w:spacing w:after="120"/>
        <w:rPr>
          <w:color w:val="0563C1"/>
          <w:sz w:val="20"/>
          <w:szCs w:val="20"/>
          <w:u w:val="single"/>
        </w:rPr>
      </w:pPr>
      <w:hyperlink r:id="rId8">
        <w:r>
          <w:rPr>
            <w:color w:val="0563C1"/>
            <w:sz w:val="20"/>
            <w:szCs w:val="20"/>
            <w:u w:val="single"/>
          </w:rPr>
          <w:t>http://2035faratutun.ro/organizatii-si-persoane-semnatare-ale-cartei/</w:t>
        </w:r>
      </w:hyperlink>
    </w:p>
    <w:sectPr w:rsidR="00610FF5">
      <w:pgSz w:w="12240" w:h="15840"/>
      <w:pgMar w:top="720" w:right="1008" w:bottom="720" w:left="100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1CC" w:rsidRDefault="005831CC">
      <w:pPr>
        <w:spacing w:after="0" w:line="240" w:lineRule="auto"/>
      </w:pPr>
      <w:r>
        <w:separator/>
      </w:r>
    </w:p>
  </w:endnote>
  <w:endnote w:type="continuationSeparator" w:id="0">
    <w:p w:rsidR="005831CC" w:rsidRDefault="00583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1CC" w:rsidRDefault="005831CC">
      <w:pPr>
        <w:spacing w:after="0" w:line="240" w:lineRule="auto"/>
      </w:pPr>
      <w:r>
        <w:separator/>
      </w:r>
    </w:p>
  </w:footnote>
  <w:footnote w:type="continuationSeparator" w:id="0">
    <w:p w:rsidR="005831CC" w:rsidRDefault="005831CC">
      <w:pPr>
        <w:spacing w:after="0" w:line="240" w:lineRule="auto"/>
      </w:pPr>
      <w:r>
        <w:continuationSeparator/>
      </w:r>
    </w:p>
  </w:footnote>
  <w:footnote w:id="1">
    <w:p w:rsidR="00610FF5" w:rsidRDefault="005831CC">
      <w:pPr>
        <w:spacing w:after="100" w:line="240" w:lineRule="auto"/>
        <w:rPr>
          <w:sz w:val="18"/>
          <w:szCs w:val="18"/>
        </w:rPr>
      </w:pPr>
      <w:r>
        <w:rPr>
          <w:rStyle w:val="FootnoteReference"/>
        </w:rPr>
        <w:footnoteRef/>
      </w:r>
      <w:r>
        <w:rPr>
          <w:sz w:val="20"/>
          <w:szCs w:val="20"/>
        </w:rPr>
        <w:t xml:space="preserve"> </w:t>
      </w:r>
      <w:hyperlink r:id="rId1">
        <w:r>
          <w:rPr>
            <w:color w:val="0563C1"/>
            <w:sz w:val="18"/>
            <w:szCs w:val="18"/>
            <w:u w:val="single"/>
          </w:rPr>
          <w:t>http://ash.</w:t>
        </w:r>
        <w:r>
          <w:rPr>
            <w:color w:val="0563C1"/>
            <w:sz w:val="18"/>
            <w:szCs w:val="18"/>
            <w:u w:val="single"/>
          </w:rPr>
          <w:t>org.uk/information-and-resources/reports-submissions/submissions/ash-response-to-cap-consultation-on-advertising-of-e-cigarettes/</w:t>
        </w:r>
      </w:hyperlink>
      <w:r>
        <w:rPr>
          <w:sz w:val="18"/>
          <w:szCs w:val="18"/>
        </w:rPr>
        <w:t xml:space="preserve"> </w:t>
      </w:r>
      <w:hyperlink r:id="rId2">
        <w:r>
          <w:rPr>
            <w:color w:val="0563C1"/>
            <w:sz w:val="18"/>
            <w:szCs w:val="18"/>
            <w:u w:val="single"/>
          </w:rPr>
          <w:t>https://www.cancerresearchuk.org/sites/default/files/consultation_on_the_advertising_of_e-cigarettes_cruk.pdf</w:t>
        </w:r>
      </w:hyperlink>
      <w:r>
        <w:rPr>
          <w:sz w:val="18"/>
          <w:szCs w:val="18"/>
        </w:rPr>
        <w:t xml:space="preserve"> </w:t>
      </w:r>
      <w:hyperlink r:id="rId3">
        <w:r>
          <w:rPr>
            <w:color w:val="0563C1"/>
            <w:sz w:val="18"/>
            <w:szCs w:val="18"/>
            <w:u w:val="single"/>
          </w:rPr>
          <w:t>http://www.healthscotland.scot/media/1576/e-cigarettes-consensus-statement_sep-2017.pdf</w:t>
        </w:r>
      </w:hyperlink>
      <w:r>
        <w:rPr>
          <w:sz w:val="18"/>
          <w:szCs w:val="18"/>
        </w:rPr>
        <w:t xml:space="preserve"> </w:t>
      </w:r>
      <w:hyperlink r:id="rId4">
        <w:r>
          <w:rPr>
            <w:color w:val="0563C1"/>
            <w:sz w:val="18"/>
            <w:szCs w:val="18"/>
            <w:u w:val="single"/>
          </w:rPr>
          <w:t>https://www.tobaccocontrollaws.org/legislation/country/england/aps-regulated-forms</w:t>
        </w:r>
      </w:hyperlink>
      <w:hyperlink r:id="rId5">
        <w:r>
          <w:rPr>
            <w:color w:val="0563C1"/>
            <w:sz w:val="18"/>
            <w:szCs w:val="18"/>
            <w:u w:val="single"/>
          </w:rPr>
          <w:t>https://assets.publishing.service.gov.uk/government/uploads/system/uploads/attachment_data/file/684963/Evidence_review_of_e-cigarettes_and_heated_tobacco_products_2018.pdf</w:t>
        </w:r>
      </w:hyperlink>
    </w:p>
  </w:footnote>
  <w:footnote w:id="2">
    <w:p w:rsidR="00610FF5" w:rsidRDefault="005831CC">
      <w:pPr>
        <w:spacing w:after="0"/>
        <w:jc w:val="both"/>
        <w:rPr>
          <w:sz w:val="20"/>
          <w:szCs w:val="20"/>
        </w:rPr>
      </w:pPr>
      <w:r>
        <w:rPr>
          <w:rStyle w:val="FootnoteReference"/>
        </w:rPr>
        <w:footnoteRef/>
      </w:r>
      <w:r>
        <w:t xml:space="preserve"> </w:t>
      </w:r>
      <w:hyperlink r:id="rId6">
        <w:r>
          <w:rPr>
            <w:color w:val="0563C1"/>
            <w:sz w:val="20"/>
            <w:szCs w:val="20"/>
            <w:u w:val="single"/>
          </w:rPr>
          <w:t>http://health.gov.ie/wp-content/uploads/2014/03/TobaccoFreeIreland.pdf</w:t>
        </w:r>
      </w:hyperlink>
    </w:p>
    <w:p w:rsidR="00610FF5" w:rsidRDefault="005831CC">
      <w:pPr>
        <w:spacing w:after="0"/>
        <w:jc w:val="both"/>
        <w:rPr>
          <w:sz w:val="20"/>
          <w:szCs w:val="20"/>
        </w:rPr>
      </w:pPr>
      <w:hyperlink r:id="rId7">
        <w:r>
          <w:rPr>
            <w:color w:val="0563C1"/>
            <w:sz w:val="20"/>
            <w:szCs w:val="20"/>
            <w:u w:val="single"/>
          </w:rPr>
          <w:t>http://www.gov.scot/resource/00</w:t>
        </w:r>
        <w:r>
          <w:rPr>
            <w:color w:val="0563C1"/>
            <w:sz w:val="20"/>
            <w:szCs w:val="20"/>
            <w:u w:val="single"/>
          </w:rPr>
          <w:t>41/00417331.pdf</w:t>
        </w:r>
      </w:hyperlink>
    </w:p>
    <w:p w:rsidR="00610FF5" w:rsidRDefault="005831CC">
      <w:pPr>
        <w:spacing w:after="0"/>
        <w:jc w:val="both"/>
        <w:rPr>
          <w:sz w:val="20"/>
          <w:szCs w:val="20"/>
        </w:rPr>
      </w:pPr>
      <w:hyperlink r:id="rId8">
        <w:r>
          <w:rPr>
            <w:color w:val="0563C1"/>
            <w:sz w:val="20"/>
            <w:szCs w:val="20"/>
            <w:u w:val="single"/>
          </w:rPr>
          <w:t>https://julkaisut.valtioneuvosto.fi/bitstream/handle/10024/70305/URN_ISBN_978-952-00-3513-6.pdf?sequen</w:t>
        </w:r>
        <w:r>
          <w:rPr>
            <w:color w:val="0563C1"/>
            <w:sz w:val="20"/>
            <w:szCs w:val="20"/>
            <w:u w:val="single"/>
          </w:rPr>
          <w:t>ce=1&amp;isAllowed=y</w:t>
        </w:r>
      </w:hyperlink>
    </w:p>
    <w:p w:rsidR="00610FF5" w:rsidRDefault="005831CC">
      <w:pPr>
        <w:spacing w:after="0"/>
        <w:jc w:val="both"/>
        <w:rPr>
          <w:sz w:val="20"/>
          <w:szCs w:val="20"/>
        </w:rPr>
      </w:pPr>
      <w:hyperlink r:id="rId9">
        <w:r>
          <w:rPr>
            <w:color w:val="0563C1"/>
            <w:sz w:val="20"/>
            <w:szCs w:val="20"/>
            <w:u w:val="single"/>
          </w:rPr>
          <w:t>https://helsedirektoratet.no/english/tobacco-control</w:t>
        </w:r>
      </w:hyperlink>
    </w:p>
    <w:p w:rsidR="00610FF5" w:rsidRDefault="00610FF5">
      <w:pPr>
        <w:spacing w:after="0" w:line="240" w:lineRule="auto"/>
        <w:rPr>
          <w:rFonts w:ascii="Times New Roman" w:eastAsia="Times New Roman" w:hAnsi="Times New Roman" w:cs="Times New Roman"/>
          <w:sz w:val="20"/>
          <w:szCs w:val="20"/>
        </w:rPr>
      </w:pPr>
    </w:p>
  </w:footnote>
  <w:footnote w:id="3">
    <w:p w:rsidR="00610FF5" w:rsidRDefault="005831CC">
      <w:pPr>
        <w:jc w:val="both"/>
        <w:rPr>
          <w:sz w:val="20"/>
          <w:szCs w:val="20"/>
        </w:rPr>
      </w:pPr>
      <w:r>
        <w:rPr>
          <w:rStyle w:val="FootnoteReference"/>
        </w:rPr>
        <w:footnoteRef/>
      </w:r>
      <w:hyperlink r:id="rId10">
        <w:r>
          <w:rPr>
            <w:color w:val="0563C1"/>
            <w:sz w:val="20"/>
            <w:szCs w:val="20"/>
            <w:u w:val="single"/>
          </w:rPr>
          <w:t>https://www.fda.gov/downloads/AdvisoryCommittees/CommitteesMeetingMaterials/TobaccoProductsScientificAdvisoryCommittee/UCM599236.pdf</w:t>
        </w:r>
      </w:hyperlink>
    </w:p>
  </w:footnote>
  <w:footnote w:id="4">
    <w:p w:rsidR="00610FF5" w:rsidRDefault="005831CC">
      <w:pPr>
        <w:jc w:val="both"/>
        <w:rPr>
          <w:sz w:val="18"/>
          <w:szCs w:val="18"/>
        </w:rPr>
      </w:pPr>
      <w:r>
        <w:rPr>
          <w:rStyle w:val="FootnoteReference"/>
        </w:rPr>
        <w:footnoteRef/>
      </w:r>
      <w:r>
        <w:t xml:space="preserve"> </w:t>
      </w:r>
      <w:r>
        <w:rPr>
          <w:sz w:val="18"/>
          <w:szCs w:val="18"/>
        </w:rPr>
        <w:t xml:space="preserve">1)Protano C, Manigrasso M, Avino P, Sernia S, Vitali M. </w:t>
      </w:r>
      <w:r>
        <w:rPr>
          <w:i/>
          <w:sz w:val="18"/>
          <w:szCs w:val="18"/>
        </w:rPr>
        <w:t>Second-hand smoke exposure generated by new electronic devices (IQOS® and e-cigs) and traditional cigarettes: Submicron particle behaviour in human respiratory system. Ann Ig. 2016;28(2):109-12;</w:t>
      </w:r>
      <w:r>
        <w:rPr>
          <w:sz w:val="18"/>
          <w:szCs w:val="18"/>
        </w:rPr>
        <w:t xml:space="preserve">   </w:t>
      </w:r>
    </w:p>
    <w:p w:rsidR="00610FF5" w:rsidRDefault="005831CC">
      <w:pPr>
        <w:jc w:val="both"/>
        <w:rPr>
          <w:rFonts w:ascii="Helvetica Neue" w:eastAsia="Helvetica Neue" w:hAnsi="Helvetica Neue" w:cs="Helvetica Neue"/>
          <w:color w:val="333333"/>
          <w:sz w:val="18"/>
          <w:szCs w:val="18"/>
        </w:rPr>
      </w:pPr>
      <w:r>
        <w:rPr>
          <w:sz w:val="18"/>
          <w:szCs w:val="18"/>
        </w:rPr>
        <w:t xml:space="preserve">2) </w:t>
      </w:r>
      <w:r>
        <w:rPr>
          <w:sz w:val="18"/>
          <w:szCs w:val="18"/>
        </w:rPr>
        <w:t>Barbara Davis, Monique Williams, Prue Talbot,</w:t>
      </w:r>
      <w:r>
        <w:rPr>
          <w:rFonts w:ascii="Helvetica Neue" w:eastAsia="Helvetica Neue" w:hAnsi="Helvetica Neue" w:cs="Helvetica Neue"/>
          <w:color w:val="2A6EBB"/>
          <w:sz w:val="18"/>
          <w:szCs w:val="18"/>
        </w:rPr>
        <w:t xml:space="preserve"> </w:t>
      </w:r>
      <w:r>
        <w:rPr>
          <w:i/>
          <w:color w:val="303030"/>
          <w:sz w:val="18"/>
          <w:szCs w:val="18"/>
          <w:highlight w:val="white"/>
        </w:rPr>
        <w:t>iQOS: evi</w:t>
      </w:r>
      <w:r>
        <w:rPr>
          <w:i/>
          <w:color w:val="303030"/>
          <w:sz w:val="18"/>
          <w:szCs w:val="18"/>
          <w:highlight w:val="white"/>
        </w:rPr>
        <w:t>dence of pyrolysis and release of a toxicant from plastic</w:t>
      </w:r>
      <w:r>
        <w:rPr>
          <w:color w:val="303030"/>
          <w:sz w:val="18"/>
          <w:szCs w:val="18"/>
          <w:highlight w:val="white"/>
        </w:rPr>
        <w:t>.</w:t>
      </w:r>
      <w:r>
        <w:rPr>
          <w:color w:val="303030"/>
          <w:sz w:val="18"/>
          <w:szCs w:val="18"/>
        </w:rPr>
        <w:t xml:space="preserve">Tob Control. 2018 Mar 13. pii: tobaccocontrol-2017-054104. doi: 10.1136/tobaccocontrol-2017-054104. </w:t>
      </w:r>
    </w:p>
    <w:p w:rsidR="00610FF5" w:rsidRDefault="005831CC">
      <w:pPr>
        <w:jc w:val="both"/>
        <w:rPr>
          <w:sz w:val="18"/>
          <w:szCs w:val="18"/>
        </w:rPr>
      </w:pPr>
      <w:r>
        <w:rPr>
          <w:sz w:val="18"/>
          <w:szCs w:val="18"/>
        </w:rPr>
        <w:t xml:space="preserve">3) A van der Plas, L. P., D Skiada, M Dobrynina, G Baker, F Ludicke (2017). </w:t>
      </w:r>
      <w:r>
        <w:rPr>
          <w:i/>
          <w:sz w:val="18"/>
          <w:szCs w:val="18"/>
        </w:rPr>
        <w:t>Prevalence and patter</w:t>
      </w:r>
      <w:r>
        <w:rPr>
          <w:i/>
          <w:sz w:val="18"/>
          <w:szCs w:val="18"/>
        </w:rPr>
        <w:t>ns of tobacco use in Japan after the commercialization of a heat-not-burn alternative (IQOS) to cigarettes.</w:t>
      </w:r>
      <w:r>
        <w:rPr>
          <w:sz w:val="18"/>
          <w:szCs w:val="18"/>
        </w:rPr>
        <w:t xml:space="preserve"> P. Science. www.pmiscience.com, Philip Morris International. </w:t>
      </w:r>
    </w:p>
    <w:p w:rsidR="00610FF5" w:rsidRDefault="005831CC">
      <w:pPr>
        <w:jc w:val="both"/>
        <w:rPr>
          <w:sz w:val="18"/>
          <w:szCs w:val="18"/>
        </w:rPr>
      </w:pPr>
      <w:r>
        <w:rPr>
          <w:sz w:val="18"/>
          <w:szCs w:val="18"/>
        </w:rPr>
        <w:t>4) (2016). "QuickStats: Cigarette Smoking Status* Among Current Adult E-cigarette User</w:t>
      </w:r>
      <w:r>
        <w:rPr>
          <w:sz w:val="18"/>
          <w:szCs w:val="18"/>
        </w:rPr>
        <w:t>s, dagger by Age Group - National Health Interview Survey, section sign United States, 2015." MMWR Morb Mortal Wkly Rep </w:t>
      </w:r>
      <w:r>
        <w:rPr>
          <w:b/>
          <w:sz w:val="18"/>
          <w:szCs w:val="18"/>
        </w:rPr>
        <w:t>65</w:t>
      </w:r>
      <w:r>
        <w:rPr>
          <w:sz w:val="18"/>
          <w:szCs w:val="18"/>
        </w:rPr>
        <w:t xml:space="preserve">(42): 1177. </w:t>
      </w:r>
    </w:p>
    <w:p w:rsidR="00610FF5" w:rsidRDefault="005831CC">
      <w:pPr>
        <w:jc w:val="both"/>
        <w:rPr>
          <w:sz w:val="18"/>
          <w:szCs w:val="18"/>
        </w:rPr>
      </w:pPr>
      <w:r>
        <w:rPr>
          <w:sz w:val="18"/>
          <w:szCs w:val="18"/>
        </w:rPr>
        <w:t>5)Liu, G., E. Wasserman, L. Kong and J. Foulds (2017). "</w:t>
      </w:r>
      <w:r>
        <w:rPr>
          <w:i/>
          <w:sz w:val="18"/>
          <w:szCs w:val="18"/>
        </w:rPr>
        <w:t>A comparison of nicotine dependence among exclusive E-cigarette a</w:t>
      </w:r>
      <w:r>
        <w:rPr>
          <w:i/>
          <w:sz w:val="18"/>
          <w:szCs w:val="18"/>
        </w:rPr>
        <w:t>nd cigarette users in the PATH study</w:t>
      </w:r>
      <w:r>
        <w:rPr>
          <w:sz w:val="18"/>
          <w:szCs w:val="18"/>
        </w:rPr>
        <w:t xml:space="preserve">." Prev Med. </w:t>
      </w:r>
    </w:p>
  </w:footnote>
  <w:footnote w:id="5">
    <w:p w:rsidR="00610FF5" w:rsidRDefault="005831CC">
      <w:pPr>
        <w:jc w:val="both"/>
        <w:rPr>
          <w:sz w:val="20"/>
          <w:szCs w:val="20"/>
        </w:rPr>
      </w:pPr>
      <w:r>
        <w:rPr>
          <w:rStyle w:val="FootnoteReference"/>
        </w:rPr>
        <w:footnoteRef/>
      </w:r>
      <w:r>
        <w:t xml:space="preserve"> </w:t>
      </w:r>
      <w:hyperlink r:id="rId11">
        <w:r>
          <w:rPr>
            <w:color w:val="0563C1"/>
            <w:sz w:val="20"/>
            <w:szCs w:val="20"/>
            <w:u w:val="single"/>
          </w:rPr>
          <w:t>https://www.globaltobaccocontrol.org/e-cigarette/country-comparison-database</w:t>
        </w:r>
      </w:hyperlink>
      <w:r>
        <w:rPr>
          <w:sz w:val="20"/>
          <w:szCs w:val="20"/>
        </w:rPr>
        <w:t xml:space="preserve">. </w:t>
      </w:r>
    </w:p>
  </w:footnote>
  <w:footnote w:id="6">
    <w:p w:rsidR="00610FF5" w:rsidRDefault="005831CC">
      <w:pPr>
        <w:spacing w:after="0"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hyperlink r:id="rId12">
        <w:r>
          <w:rPr>
            <w:rFonts w:ascii="Times New Roman" w:eastAsia="Times New Roman" w:hAnsi="Times New Roman" w:cs="Times New Roman"/>
            <w:color w:val="0563C1"/>
            <w:sz w:val="20"/>
            <w:szCs w:val="20"/>
            <w:u w:val="single"/>
          </w:rPr>
          <w:t>http://www.cdep.ro/pls/legis/legis_pck.htp_act_text?idt=68246</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10FF5"/>
    <w:rsid w:val="005831CC"/>
    <w:rsid w:val="00610FF5"/>
    <w:rsid w:val="00D64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ro-RO"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C5D"/>
    <w:rPr>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rsid w:val="00EB4456"/>
    <w:pPr>
      <w:spacing w:before="100" w:beforeAutospacing="1" w:after="100" w:afterAutospacing="1" w:line="240" w:lineRule="auto"/>
      <w:outlineLvl w:val="1"/>
    </w:pPr>
    <w:rPr>
      <w:rFonts w:ascii="Times New Roman" w:eastAsia="Times New Roman" w:hAnsi="Times New Roman"/>
      <w:b/>
      <w:bCs/>
      <w:sz w:val="36"/>
      <w:szCs w:val="36"/>
      <w:lang w:val="en-GB" w:eastAsia="en-G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EndnoteText">
    <w:name w:val="endnote text"/>
    <w:basedOn w:val="Normal"/>
    <w:link w:val="EndnoteTextChar"/>
    <w:uiPriority w:val="99"/>
    <w:unhideWhenUsed/>
    <w:rsid w:val="00BE09A4"/>
    <w:rPr>
      <w:sz w:val="20"/>
      <w:szCs w:val="20"/>
    </w:rPr>
  </w:style>
  <w:style w:type="character" w:customStyle="1" w:styleId="EndnoteTextChar">
    <w:name w:val="Endnote Text Char"/>
    <w:link w:val="EndnoteText"/>
    <w:uiPriority w:val="99"/>
    <w:rsid w:val="00BE09A4"/>
    <w:rPr>
      <w:lang w:val="en-US" w:eastAsia="en-US"/>
    </w:rPr>
  </w:style>
  <w:style w:type="character" w:styleId="EndnoteReference">
    <w:name w:val="endnote reference"/>
    <w:uiPriority w:val="99"/>
    <w:unhideWhenUsed/>
    <w:rsid w:val="00BE09A4"/>
    <w:rPr>
      <w:vertAlign w:val="superscript"/>
    </w:rPr>
  </w:style>
  <w:style w:type="paragraph" w:customStyle="1" w:styleId="Default">
    <w:name w:val="Default"/>
    <w:rsid w:val="001B18F2"/>
    <w:pPr>
      <w:autoSpaceDE w:val="0"/>
      <w:autoSpaceDN w:val="0"/>
      <w:adjustRightInd w:val="0"/>
    </w:pPr>
    <w:rPr>
      <w:sz w:val="24"/>
      <w:szCs w:val="24"/>
    </w:rPr>
  </w:style>
  <w:style w:type="character" w:customStyle="1" w:styleId="Heading2Char">
    <w:name w:val="Heading 2 Char"/>
    <w:link w:val="Heading2"/>
    <w:uiPriority w:val="9"/>
    <w:rsid w:val="00EB4456"/>
    <w:rPr>
      <w:rFonts w:ascii="Times New Roman" w:eastAsia="Times New Roman" w:hAnsi="Times New Roman"/>
      <w:b/>
      <w:bCs/>
      <w:sz w:val="36"/>
      <w:szCs w:val="36"/>
    </w:rPr>
  </w:style>
  <w:style w:type="paragraph" w:styleId="FootnoteText">
    <w:name w:val="footnote text"/>
    <w:basedOn w:val="Normal"/>
    <w:link w:val="FootnoteTextChar"/>
    <w:uiPriority w:val="99"/>
    <w:rsid w:val="00CA7B2F"/>
    <w:pPr>
      <w:spacing w:after="0" w:line="240" w:lineRule="auto"/>
    </w:pPr>
    <w:rPr>
      <w:rFonts w:ascii="Times New Roman" w:eastAsia="Times New Roman" w:hAnsi="Times New Roman"/>
      <w:sz w:val="20"/>
      <w:szCs w:val="20"/>
      <w:lang w:val="en-GB" w:eastAsia="en-GB"/>
    </w:rPr>
  </w:style>
  <w:style w:type="character" w:customStyle="1" w:styleId="FootnoteTextChar">
    <w:name w:val="Footnote Text Char"/>
    <w:link w:val="FootnoteText"/>
    <w:uiPriority w:val="99"/>
    <w:rsid w:val="00CA7B2F"/>
    <w:rPr>
      <w:rFonts w:ascii="Times New Roman" w:eastAsia="Times New Roman" w:hAnsi="Times New Roman"/>
    </w:rPr>
  </w:style>
  <w:style w:type="character" w:styleId="FootnoteReference">
    <w:name w:val="footnote reference"/>
    <w:rsid w:val="00CA7B2F"/>
    <w:rPr>
      <w:rFonts w:cs="Times New Roman"/>
      <w:vertAlign w:val="superscript"/>
    </w:rPr>
  </w:style>
  <w:style w:type="paragraph" w:styleId="ListParagraph">
    <w:name w:val="List Paragraph"/>
    <w:basedOn w:val="Normal"/>
    <w:uiPriority w:val="34"/>
    <w:qFormat/>
    <w:rsid w:val="00DE4666"/>
    <w:pPr>
      <w:spacing w:after="0"/>
      <w:ind w:left="720"/>
      <w:contextualSpacing/>
      <w:jc w:val="both"/>
    </w:pPr>
    <w:rPr>
      <w:rFonts w:ascii="Times New Roman" w:eastAsia="Times New Roman" w:hAnsi="Times New Roman"/>
      <w:sz w:val="24"/>
      <w:szCs w:val="24"/>
      <w:lang w:val="en-GB"/>
    </w:rPr>
  </w:style>
  <w:style w:type="character" w:styleId="Strong">
    <w:name w:val="Strong"/>
    <w:uiPriority w:val="22"/>
    <w:qFormat/>
    <w:rsid w:val="00DE4666"/>
    <w:rPr>
      <w:b/>
      <w:bCs/>
    </w:rPr>
  </w:style>
  <w:style w:type="paragraph" w:styleId="NormalWeb">
    <w:name w:val="Normal (Web)"/>
    <w:basedOn w:val="Normal"/>
    <w:uiPriority w:val="99"/>
    <w:unhideWhenUsed/>
    <w:rsid w:val="00DE4666"/>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DE4666"/>
    <w:rPr>
      <w:i/>
      <w:iCs/>
    </w:rPr>
  </w:style>
  <w:style w:type="character" w:styleId="Hyperlink">
    <w:name w:val="Hyperlink"/>
    <w:uiPriority w:val="99"/>
    <w:unhideWhenUsed/>
    <w:rsid w:val="00CB1F01"/>
    <w:rPr>
      <w:color w:val="0563C1"/>
      <w:u w:val="single"/>
    </w:rPr>
  </w:style>
  <w:style w:type="character" w:customStyle="1" w:styleId="normaltextrun">
    <w:name w:val="normaltextrun"/>
    <w:rsid w:val="00A8071D"/>
  </w:style>
  <w:style w:type="character" w:customStyle="1" w:styleId="spellingerror">
    <w:name w:val="spellingerror"/>
    <w:rsid w:val="00A8071D"/>
  </w:style>
  <w:style w:type="character" w:customStyle="1" w:styleId="eop">
    <w:name w:val="eop"/>
    <w:rsid w:val="00A8071D"/>
  </w:style>
  <w:style w:type="paragraph" w:customStyle="1" w:styleId="doc-ti">
    <w:name w:val="doc-ti"/>
    <w:basedOn w:val="Normal"/>
    <w:rsid w:val="008F3B8E"/>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PlainText">
    <w:name w:val="Plain Text"/>
    <w:basedOn w:val="Normal"/>
    <w:link w:val="PlainTextChar"/>
    <w:uiPriority w:val="99"/>
    <w:unhideWhenUsed/>
    <w:rsid w:val="00401E70"/>
    <w:pPr>
      <w:spacing w:after="0" w:line="240" w:lineRule="auto"/>
    </w:pPr>
    <w:rPr>
      <w:szCs w:val="21"/>
      <w:lang w:val="ro-RO"/>
    </w:rPr>
  </w:style>
  <w:style w:type="character" w:customStyle="1" w:styleId="PlainTextChar">
    <w:name w:val="Plain Text Char"/>
    <w:link w:val="PlainText"/>
    <w:uiPriority w:val="99"/>
    <w:rsid w:val="00401E70"/>
    <w:rPr>
      <w:sz w:val="22"/>
      <w:szCs w:val="21"/>
      <w:lang w:eastAsia="en-US"/>
    </w:rPr>
  </w:style>
  <w:style w:type="paragraph" w:styleId="BalloonText">
    <w:name w:val="Balloon Text"/>
    <w:basedOn w:val="Normal"/>
    <w:link w:val="BalloonTextChar"/>
    <w:uiPriority w:val="99"/>
    <w:semiHidden/>
    <w:unhideWhenUsed/>
    <w:rsid w:val="007970D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970DA"/>
    <w:rPr>
      <w:rFonts w:ascii="Segoe UI" w:hAnsi="Segoe UI" w:cs="Segoe UI"/>
      <w:sz w:val="18"/>
      <w:szCs w:val="18"/>
      <w:lang w:val="en-US" w:eastAsia="en-US"/>
    </w:rPr>
  </w:style>
  <w:style w:type="character" w:styleId="CommentReference">
    <w:name w:val="annotation reference"/>
    <w:uiPriority w:val="99"/>
    <w:semiHidden/>
    <w:unhideWhenUsed/>
    <w:rsid w:val="001B4378"/>
    <w:rPr>
      <w:sz w:val="16"/>
      <w:szCs w:val="16"/>
    </w:rPr>
  </w:style>
  <w:style w:type="paragraph" w:styleId="CommentText">
    <w:name w:val="annotation text"/>
    <w:basedOn w:val="Normal"/>
    <w:link w:val="CommentTextChar"/>
    <w:uiPriority w:val="99"/>
    <w:semiHidden/>
    <w:unhideWhenUsed/>
    <w:rsid w:val="001B4378"/>
    <w:rPr>
      <w:sz w:val="20"/>
      <w:szCs w:val="20"/>
    </w:rPr>
  </w:style>
  <w:style w:type="character" w:customStyle="1" w:styleId="CommentTextChar">
    <w:name w:val="Comment Text Char"/>
    <w:link w:val="CommentText"/>
    <w:uiPriority w:val="99"/>
    <w:semiHidden/>
    <w:rsid w:val="001B4378"/>
    <w:rPr>
      <w:lang w:val="en-US" w:eastAsia="en-US"/>
    </w:rPr>
  </w:style>
  <w:style w:type="paragraph" w:styleId="CommentSubject">
    <w:name w:val="annotation subject"/>
    <w:basedOn w:val="CommentText"/>
    <w:next w:val="CommentText"/>
    <w:link w:val="CommentSubjectChar"/>
    <w:uiPriority w:val="99"/>
    <w:semiHidden/>
    <w:unhideWhenUsed/>
    <w:rsid w:val="001B4378"/>
    <w:rPr>
      <w:b/>
      <w:bCs/>
    </w:rPr>
  </w:style>
  <w:style w:type="character" w:customStyle="1" w:styleId="CommentSubjectChar">
    <w:name w:val="Comment Subject Char"/>
    <w:link w:val="CommentSubject"/>
    <w:uiPriority w:val="99"/>
    <w:semiHidden/>
    <w:rsid w:val="001B4378"/>
    <w:rPr>
      <w:b/>
      <w:bCs/>
      <w:lang w:val="en-US" w:eastAsia="en-US"/>
    </w:rPr>
  </w:style>
  <w:style w:type="character" w:customStyle="1" w:styleId="name">
    <w:name w:val="name"/>
    <w:rsid w:val="00BC1C46"/>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ro-RO"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C5D"/>
    <w:rPr>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rsid w:val="00EB4456"/>
    <w:pPr>
      <w:spacing w:before="100" w:beforeAutospacing="1" w:after="100" w:afterAutospacing="1" w:line="240" w:lineRule="auto"/>
      <w:outlineLvl w:val="1"/>
    </w:pPr>
    <w:rPr>
      <w:rFonts w:ascii="Times New Roman" w:eastAsia="Times New Roman" w:hAnsi="Times New Roman"/>
      <w:b/>
      <w:bCs/>
      <w:sz w:val="36"/>
      <w:szCs w:val="36"/>
      <w:lang w:val="en-GB" w:eastAsia="en-G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EndnoteText">
    <w:name w:val="endnote text"/>
    <w:basedOn w:val="Normal"/>
    <w:link w:val="EndnoteTextChar"/>
    <w:uiPriority w:val="99"/>
    <w:unhideWhenUsed/>
    <w:rsid w:val="00BE09A4"/>
    <w:rPr>
      <w:sz w:val="20"/>
      <w:szCs w:val="20"/>
    </w:rPr>
  </w:style>
  <w:style w:type="character" w:customStyle="1" w:styleId="EndnoteTextChar">
    <w:name w:val="Endnote Text Char"/>
    <w:link w:val="EndnoteText"/>
    <w:uiPriority w:val="99"/>
    <w:rsid w:val="00BE09A4"/>
    <w:rPr>
      <w:lang w:val="en-US" w:eastAsia="en-US"/>
    </w:rPr>
  </w:style>
  <w:style w:type="character" w:styleId="EndnoteReference">
    <w:name w:val="endnote reference"/>
    <w:uiPriority w:val="99"/>
    <w:unhideWhenUsed/>
    <w:rsid w:val="00BE09A4"/>
    <w:rPr>
      <w:vertAlign w:val="superscript"/>
    </w:rPr>
  </w:style>
  <w:style w:type="paragraph" w:customStyle="1" w:styleId="Default">
    <w:name w:val="Default"/>
    <w:rsid w:val="001B18F2"/>
    <w:pPr>
      <w:autoSpaceDE w:val="0"/>
      <w:autoSpaceDN w:val="0"/>
      <w:adjustRightInd w:val="0"/>
    </w:pPr>
    <w:rPr>
      <w:sz w:val="24"/>
      <w:szCs w:val="24"/>
    </w:rPr>
  </w:style>
  <w:style w:type="character" w:customStyle="1" w:styleId="Heading2Char">
    <w:name w:val="Heading 2 Char"/>
    <w:link w:val="Heading2"/>
    <w:uiPriority w:val="9"/>
    <w:rsid w:val="00EB4456"/>
    <w:rPr>
      <w:rFonts w:ascii="Times New Roman" w:eastAsia="Times New Roman" w:hAnsi="Times New Roman"/>
      <w:b/>
      <w:bCs/>
      <w:sz w:val="36"/>
      <w:szCs w:val="36"/>
    </w:rPr>
  </w:style>
  <w:style w:type="paragraph" w:styleId="FootnoteText">
    <w:name w:val="footnote text"/>
    <w:basedOn w:val="Normal"/>
    <w:link w:val="FootnoteTextChar"/>
    <w:uiPriority w:val="99"/>
    <w:rsid w:val="00CA7B2F"/>
    <w:pPr>
      <w:spacing w:after="0" w:line="240" w:lineRule="auto"/>
    </w:pPr>
    <w:rPr>
      <w:rFonts w:ascii="Times New Roman" w:eastAsia="Times New Roman" w:hAnsi="Times New Roman"/>
      <w:sz w:val="20"/>
      <w:szCs w:val="20"/>
      <w:lang w:val="en-GB" w:eastAsia="en-GB"/>
    </w:rPr>
  </w:style>
  <w:style w:type="character" w:customStyle="1" w:styleId="FootnoteTextChar">
    <w:name w:val="Footnote Text Char"/>
    <w:link w:val="FootnoteText"/>
    <w:uiPriority w:val="99"/>
    <w:rsid w:val="00CA7B2F"/>
    <w:rPr>
      <w:rFonts w:ascii="Times New Roman" w:eastAsia="Times New Roman" w:hAnsi="Times New Roman"/>
    </w:rPr>
  </w:style>
  <w:style w:type="character" w:styleId="FootnoteReference">
    <w:name w:val="footnote reference"/>
    <w:rsid w:val="00CA7B2F"/>
    <w:rPr>
      <w:rFonts w:cs="Times New Roman"/>
      <w:vertAlign w:val="superscript"/>
    </w:rPr>
  </w:style>
  <w:style w:type="paragraph" w:styleId="ListParagraph">
    <w:name w:val="List Paragraph"/>
    <w:basedOn w:val="Normal"/>
    <w:uiPriority w:val="34"/>
    <w:qFormat/>
    <w:rsid w:val="00DE4666"/>
    <w:pPr>
      <w:spacing w:after="0"/>
      <w:ind w:left="720"/>
      <w:contextualSpacing/>
      <w:jc w:val="both"/>
    </w:pPr>
    <w:rPr>
      <w:rFonts w:ascii="Times New Roman" w:eastAsia="Times New Roman" w:hAnsi="Times New Roman"/>
      <w:sz w:val="24"/>
      <w:szCs w:val="24"/>
      <w:lang w:val="en-GB"/>
    </w:rPr>
  </w:style>
  <w:style w:type="character" w:styleId="Strong">
    <w:name w:val="Strong"/>
    <w:uiPriority w:val="22"/>
    <w:qFormat/>
    <w:rsid w:val="00DE4666"/>
    <w:rPr>
      <w:b/>
      <w:bCs/>
    </w:rPr>
  </w:style>
  <w:style w:type="paragraph" w:styleId="NormalWeb">
    <w:name w:val="Normal (Web)"/>
    <w:basedOn w:val="Normal"/>
    <w:uiPriority w:val="99"/>
    <w:unhideWhenUsed/>
    <w:rsid w:val="00DE4666"/>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DE4666"/>
    <w:rPr>
      <w:i/>
      <w:iCs/>
    </w:rPr>
  </w:style>
  <w:style w:type="character" w:styleId="Hyperlink">
    <w:name w:val="Hyperlink"/>
    <w:uiPriority w:val="99"/>
    <w:unhideWhenUsed/>
    <w:rsid w:val="00CB1F01"/>
    <w:rPr>
      <w:color w:val="0563C1"/>
      <w:u w:val="single"/>
    </w:rPr>
  </w:style>
  <w:style w:type="character" w:customStyle="1" w:styleId="normaltextrun">
    <w:name w:val="normaltextrun"/>
    <w:rsid w:val="00A8071D"/>
  </w:style>
  <w:style w:type="character" w:customStyle="1" w:styleId="spellingerror">
    <w:name w:val="spellingerror"/>
    <w:rsid w:val="00A8071D"/>
  </w:style>
  <w:style w:type="character" w:customStyle="1" w:styleId="eop">
    <w:name w:val="eop"/>
    <w:rsid w:val="00A8071D"/>
  </w:style>
  <w:style w:type="paragraph" w:customStyle="1" w:styleId="doc-ti">
    <w:name w:val="doc-ti"/>
    <w:basedOn w:val="Normal"/>
    <w:rsid w:val="008F3B8E"/>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PlainText">
    <w:name w:val="Plain Text"/>
    <w:basedOn w:val="Normal"/>
    <w:link w:val="PlainTextChar"/>
    <w:uiPriority w:val="99"/>
    <w:unhideWhenUsed/>
    <w:rsid w:val="00401E70"/>
    <w:pPr>
      <w:spacing w:after="0" w:line="240" w:lineRule="auto"/>
    </w:pPr>
    <w:rPr>
      <w:szCs w:val="21"/>
      <w:lang w:val="ro-RO"/>
    </w:rPr>
  </w:style>
  <w:style w:type="character" w:customStyle="1" w:styleId="PlainTextChar">
    <w:name w:val="Plain Text Char"/>
    <w:link w:val="PlainText"/>
    <w:uiPriority w:val="99"/>
    <w:rsid w:val="00401E70"/>
    <w:rPr>
      <w:sz w:val="22"/>
      <w:szCs w:val="21"/>
      <w:lang w:eastAsia="en-US"/>
    </w:rPr>
  </w:style>
  <w:style w:type="paragraph" w:styleId="BalloonText">
    <w:name w:val="Balloon Text"/>
    <w:basedOn w:val="Normal"/>
    <w:link w:val="BalloonTextChar"/>
    <w:uiPriority w:val="99"/>
    <w:semiHidden/>
    <w:unhideWhenUsed/>
    <w:rsid w:val="007970D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970DA"/>
    <w:rPr>
      <w:rFonts w:ascii="Segoe UI" w:hAnsi="Segoe UI" w:cs="Segoe UI"/>
      <w:sz w:val="18"/>
      <w:szCs w:val="18"/>
      <w:lang w:val="en-US" w:eastAsia="en-US"/>
    </w:rPr>
  </w:style>
  <w:style w:type="character" w:styleId="CommentReference">
    <w:name w:val="annotation reference"/>
    <w:uiPriority w:val="99"/>
    <w:semiHidden/>
    <w:unhideWhenUsed/>
    <w:rsid w:val="001B4378"/>
    <w:rPr>
      <w:sz w:val="16"/>
      <w:szCs w:val="16"/>
    </w:rPr>
  </w:style>
  <w:style w:type="paragraph" w:styleId="CommentText">
    <w:name w:val="annotation text"/>
    <w:basedOn w:val="Normal"/>
    <w:link w:val="CommentTextChar"/>
    <w:uiPriority w:val="99"/>
    <w:semiHidden/>
    <w:unhideWhenUsed/>
    <w:rsid w:val="001B4378"/>
    <w:rPr>
      <w:sz w:val="20"/>
      <w:szCs w:val="20"/>
    </w:rPr>
  </w:style>
  <w:style w:type="character" w:customStyle="1" w:styleId="CommentTextChar">
    <w:name w:val="Comment Text Char"/>
    <w:link w:val="CommentText"/>
    <w:uiPriority w:val="99"/>
    <w:semiHidden/>
    <w:rsid w:val="001B4378"/>
    <w:rPr>
      <w:lang w:val="en-US" w:eastAsia="en-US"/>
    </w:rPr>
  </w:style>
  <w:style w:type="paragraph" w:styleId="CommentSubject">
    <w:name w:val="annotation subject"/>
    <w:basedOn w:val="CommentText"/>
    <w:next w:val="CommentText"/>
    <w:link w:val="CommentSubjectChar"/>
    <w:uiPriority w:val="99"/>
    <w:semiHidden/>
    <w:unhideWhenUsed/>
    <w:rsid w:val="001B4378"/>
    <w:rPr>
      <w:b/>
      <w:bCs/>
    </w:rPr>
  </w:style>
  <w:style w:type="character" w:customStyle="1" w:styleId="CommentSubjectChar">
    <w:name w:val="Comment Subject Char"/>
    <w:link w:val="CommentSubject"/>
    <w:uiPriority w:val="99"/>
    <w:semiHidden/>
    <w:rsid w:val="001B4378"/>
    <w:rPr>
      <w:b/>
      <w:bCs/>
      <w:lang w:val="en-US" w:eastAsia="en-US"/>
    </w:rPr>
  </w:style>
  <w:style w:type="character" w:customStyle="1" w:styleId="name">
    <w:name w:val="name"/>
    <w:rsid w:val="00BC1C46"/>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2035faratutun.ro/organizatii-si-persoane-semnatare-ale-cartei/"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julkaisut.valtioneuvosto.fi/bitstream/handle/10024/70305/URN_ISBN_978-952-00-3513-6.pdf?sequence=1&amp;isAllowed=y" TargetMode="External"/><Relationship Id="rId3" Type="http://schemas.openxmlformats.org/officeDocument/2006/relationships/hyperlink" Target="http://www.healthscotland.scot/media/1576/e-cigarettes-consensus-statement_sep-2017.pdf" TargetMode="External"/><Relationship Id="rId7" Type="http://schemas.openxmlformats.org/officeDocument/2006/relationships/hyperlink" Target="http://www.gov.scot/resource/0041/00417331.pdf" TargetMode="External"/><Relationship Id="rId12" Type="http://schemas.openxmlformats.org/officeDocument/2006/relationships/hyperlink" Target="http://www.cdep.ro/pls/legis/legis_pck.htp_act_text?idt=68246" TargetMode="External"/><Relationship Id="rId2" Type="http://schemas.openxmlformats.org/officeDocument/2006/relationships/hyperlink" Target="https://www.cancerresearchuk.org/sites/default/files/consultation_on_the_advertising_of_e-cigarettes_cruk.pdf" TargetMode="External"/><Relationship Id="rId1" Type="http://schemas.openxmlformats.org/officeDocument/2006/relationships/hyperlink" Target="http://ash.org.uk/information-and-resources/reports-submissions/submissions/ash-response-to-cap-consultation-on-advertising-of-e-cigarettes/" TargetMode="External"/><Relationship Id="rId6" Type="http://schemas.openxmlformats.org/officeDocument/2006/relationships/hyperlink" Target="http://health.gov.ie/wp-content/uploads/2014/03/TobaccoFreeIreland.pdf" TargetMode="External"/><Relationship Id="rId11" Type="http://schemas.openxmlformats.org/officeDocument/2006/relationships/hyperlink" Target="https://www.globaltobaccocontrol.org/e-cigarette/country-comparison-database" TargetMode="External"/><Relationship Id="rId5" Type="http://schemas.openxmlformats.org/officeDocument/2006/relationships/hyperlink" Target="https://assets.publishing.service.gov.uk/government/uploads/system/uploads/attachment_data/file/684963/Evidence_review_of_e-cigarettes_and_heated_tobacco_products_2018.pdf" TargetMode="External"/><Relationship Id="rId10" Type="http://schemas.openxmlformats.org/officeDocument/2006/relationships/hyperlink" Target="https://www.fda.gov/downloads/AdvisoryCommittees/CommitteesMeetingMaterials/TobaccoProductsScientificAdvisoryCommittee/UCM599236.pdf" TargetMode="External"/><Relationship Id="rId4" Type="http://schemas.openxmlformats.org/officeDocument/2006/relationships/hyperlink" Target="https://www.tobaccocontrollaws.org/legislation/country/england/aps-regulated-forms" TargetMode="External"/><Relationship Id="rId9" Type="http://schemas.openxmlformats.org/officeDocument/2006/relationships/hyperlink" Target="https://helsedirektoratet.no/english/tobacco-control"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2188</Words>
  <Characters>12477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adriana</cp:lastModifiedBy>
  <cp:revision>2</cp:revision>
  <dcterms:created xsi:type="dcterms:W3CDTF">2018-04-26T09:14:00Z</dcterms:created>
  <dcterms:modified xsi:type="dcterms:W3CDTF">2018-04-26T09:14:00Z</dcterms:modified>
</cp:coreProperties>
</file>