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A" w:rsidRDefault="00E229DA" w:rsidP="00E229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CONDIŢIILE ACORDĂRII PACHETULUI DE SERVICII MINIMAL ŞI DE BAZĂ ÎN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ASISTENŢA MEDICALĂ PRIMARĂ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A. PACHETUL MINIMAL DE SERVICII MEDICALE ÎN ASISTENŢA MEDICALĂ</w:t>
      </w:r>
    </w:p>
    <w:p w:rsidR="00193B7C" w:rsidRDefault="00E229DA" w:rsidP="00E229D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PRIMARĂ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1.5. Serviciile de prevenţie – consultație preventivă: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Consultația preventivă pentru persoanele în vârstă de peste 18 ani pentru prevenirea bolilor cu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consecinţe majore în morbiditate şi mortalitate se acordă o dată la 3 ani şi cuprinde: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consultaţie (anamneză, examen obiectiv, diagnostic);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recomandare pentru examene paraclinice atunci când există argumente clinice de suspiciune 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unei stări patologice consemnate în foaia de observaţie;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încadrarea medicală a asiguratului într-o grupă de risc;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sfat medical, recomandări regim igieno-dietetic.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Consultația se poate efectua la solicitarea persoanei beneficiară de pachet minimal de servicii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medicale sau la solicitarea medicului de familie – pentru persoanele neasigurate înscrise pe lista</w:t>
      </w:r>
    </w:p>
    <w:p w:rsidR="00E229DA" w:rsidRDefault="00E229DA" w:rsidP="00E229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medicului de familie.</w:t>
      </w:r>
    </w:p>
    <w:p w:rsidR="00E229DA" w:rsidRDefault="00E229DA" w:rsidP="00E229D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B. PACHETUL DE SERVICII DE BAZĂ ÎN ASISTENŢA MEDICALĂ PRIMARĂ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Serviciile medicale preventive şi profilactice sunt: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1.2.1.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Consultaţiile preventive sunt consultaţii periodice active oferite persoanelor cu vârsta între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0 - 18 ani</w:t>
      </w:r>
      <w:r>
        <w:rPr>
          <w:rFonts w:ascii="TimesNewRomanPSMT" w:hAnsi="TimesNewRomanPSMT" w:cs="TimesNewRomanPSMT"/>
          <w:sz w:val="24"/>
          <w:szCs w:val="24"/>
        </w:rPr>
        <w:t xml:space="preserve"> privind: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creşterea şi dezvoltarea;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starea de nutriţie şi practicile nutriţionale;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depistarea şi intervenţia în consecinţă pentru riscurile specifice grupei de vârstă/sex; serviciile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preventive pentru copii pe grupe de vârstă şi sex, conform anexei nr. 2 C la ordin.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1.2.1.1: Frecvenţa efectuării consultaţiilor se va realiza după cum urmează:</w:t>
      </w: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229DA">
        <w:rPr>
          <w:rFonts w:ascii="TimesNewRomanPSMT" w:hAnsi="TimesNewRomanPSMT" w:cs="TimesNewRomanPSMT"/>
          <w:b/>
          <w:sz w:val="24"/>
          <w:szCs w:val="24"/>
        </w:rPr>
        <w:t>a) la externarea din maternitate şi la 1 lună - la domiciliul copilului;</w:t>
      </w: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229DA">
        <w:rPr>
          <w:rFonts w:ascii="TimesNewRomanPSMT" w:hAnsi="TimesNewRomanPSMT" w:cs="TimesNewRomanPSMT"/>
          <w:b/>
          <w:sz w:val="24"/>
          <w:szCs w:val="24"/>
        </w:rPr>
        <w:t>b) la 2, 4, 6, 9, 12,15,18, 24, 36 luni;</w:t>
      </w: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229DA">
        <w:rPr>
          <w:rFonts w:ascii="TimesNewRomanPSMT" w:hAnsi="TimesNewRomanPSMT" w:cs="TimesNewRomanPSMT"/>
          <w:b/>
          <w:sz w:val="24"/>
          <w:szCs w:val="24"/>
        </w:rPr>
        <w:t>c) o dată pe an de la 4 la 18 ani.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NOTA 1: În cadrul consultațiilor preventive copii cu vârsta cuprinsă între 2 și 18 ani, beneficiază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anual de investigații paraclinice – analize de laborator, pe baza biletului de trimitere eliberat de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medicul de familie, dacă în anul în care se acordă consultațiile preventive de evaluare a riscului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individual, nu au efectuat aceste investigații. Biletul de trimitere se întocmește distict pentru aceste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investigații paraclinice cu completarea câmpului corespunzător prevenției.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Investigațiile paraclinice recomandate pentru prevenție sunt: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</w:t>
      </w:r>
      <w:r w:rsidRPr="00E229DA">
        <w:rPr>
          <w:rFonts w:ascii="TimesNewRomanPSMT" w:hAnsi="TimesNewRomanPSMT" w:cs="TimesNewRomanPSMT"/>
          <w:b/>
          <w:sz w:val="24"/>
          <w:szCs w:val="24"/>
        </w:rPr>
        <w:t>Vârsta cuprinsă între 2 ani şi 5 ani inclusiv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Pentru profilaxia anemiei: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Hemoleucograma completă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Sideremie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Pentru profilaxia rahitismului: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Calciu seric total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Calciu ionic seric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</w:t>
      </w:r>
      <w:r w:rsidRPr="00E229DA">
        <w:rPr>
          <w:rFonts w:ascii="TimesNewRomanPSMT" w:hAnsi="TimesNewRomanPSMT" w:cs="TimesNewRomanPSMT"/>
          <w:b/>
          <w:sz w:val="24"/>
          <w:szCs w:val="24"/>
        </w:rPr>
        <w:t>Vârsta cuprinsă între 6 ani şi 11 ani inclusiv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Pentru profilaxia sindromului dismetabolic pentru copii cu indicele de masă corporală -</w:t>
      </w:r>
    </w:p>
    <w:p w:rsidR="00E229DA" w:rsidRDefault="00E229DA" w:rsidP="00E229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(IMC) cresc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ut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Proteine totale serice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Colesterol seric total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Trigliceride serice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Glicemie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TGP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TGO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2. Pentru profilaxia anemiei: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Hemoleucograma completă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Sideremie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c.</w:t>
      </w:r>
      <w:r w:rsidRPr="00E229DA">
        <w:rPr>
          <w:rFonts w:ascii="TimesNewRomanPSMT" w:eastAsia="SymbolMT" w:hAnsi="TimesNewRomanPSMT" w:cs="TimesNewRomanPSMT"/>
          <w:b/>
          <w:sz w:val="24"/>
          <w:szCs w:val="24"/>
        </w:rPr>
        <w:t>Vârsta cuprinsă între 12 ani şi 17 ani inclusiv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1. Pentru profilaxia sindromului dismetabolic pentru indice de masă corporală - (IMC) crescut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Proteine totale serice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Colesterol seric total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Trigliceride serice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Glicemie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TGP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TGO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2. Pentru screening ITS (după începerea vietii sexuale)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NewRomanPSMT" w:eastAsia="SymbolMT" w:hAnsi="TimesNewRomanPSMT" w:cs="TimesNewRomanPSMT"/>
          <w:sz w:val="24"/>
          <w:szCs w:val="24"/>
        </w:rPr>
        <w:t>VDRL sau RPR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NOTA 2: Furnizorul de analize de laborator efectuează fără recomandarea medicului de familie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 xml:space="preserve">examenul citologic al frotiului sangvin </w:t>
      </w:r>
      <w:r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>(</w:t>
      </w:r>
      <w:r>
        <w:rPr>
          <w:rFonts w:ascii="TimesNewRomanPSMT" w:eastAsia="SymbolMT" w:hAnsi="TimesNewRomanPSMT" w:cs="TimesNewRomanPSMT"/>
          <w:sz w:val="24"/>
          <w:szCs w:val="24"/>
        </w:rPr>
        <w:t>numai dacă este efectuat de medicul de laborator sau de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specialişti cu studii superioare nemedicale care au specializare în hematologie) în cazul în care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hemoleucograma completă prezintă modificări de parametri, respectiv efectuează TPHA în situația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în care VDRL sau RPR este pozitiv.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 xml:space="preserve">1.2.2. </w:t>
      </w:r>
      <w:r w:rsidRPr="00E229DA">
        <w:rPr>
          <w:rFonts w:ascii="TimesNewRomanPSMT" w:eastAsia="SymbolMT" w:hAnsi="TimesNewRomanPSMT" w:cs="TimesNewRomanPSMT"/>
          <w:b/>
          <w:sz w:val="24"/>
          <w:szCs w:val="24"/>
        </w:rPr>
        <w:t>Consultaţii în vederea monitorizării evoluţiei sarcinii şi lăuziei</w:t>
      </w:r>
      <w:r>
        <w:rPr>
          <w:rFonts w:ascii="TimesNewRomanPSMT" w:eastAsia="SymbolMT" w:hAnsi="TimesNewRomanPSMT" w:cs="TimesNewRomanPSMT"/>
          <w:sz w:val="24"/>
          <w:szCs w:val="24"/>
        </w:rPr>
        <w:t>, conform prevederilor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legale în vigoare: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a) luarea în evidenţă în primul trimestru; se decontează o consultaţie;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b) supravegherea, lunar, din luna a 3-a până în luna a 7-a se decontează o consultaţie/lună. În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situaţia în care luarea în evidenţă a gravidei are loc în luna a 3-a, pentru această lună se va raporta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casei de asigurări de sănătate numai luarea în evidenţă a gravidei, nu şi supravegherea;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c) supravegherea, de două ori pe lună, din luna a 7-a până în luna a 9-a inclusiv; se decontează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două consultaţii/lună;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d) urmărirea lehuzei la externarea din maternitate - la domiciliu; se decontează o consultaţie;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e) urmărirea lehuzei la 4 săptămâni de la naştere; se decontează o consultaţie.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1.2.2.1: În cadrul supravegherii gravidei se face şi promovarea alimentaţiei exclusive la sân 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copilului până la vârsta de 6 luni şi continuarea acesteia până la minim 12 luni, testare pentru HIV,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hepatită de etiologie virală cu virus B şi C, precum şi consiliere pre şi post testare HIV şi lues 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femeii gravide.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lastRenderedPageBreak/>
        <w:t>NOTĂ: În conformitate cu programul de monitorizare, investigaţiile paraclinice şi tratamentele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specifice sarcinii pot fi recomandate de către medicul de familie, numai pentru intervalul de timp de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la momentul în care gravida este luată în evidenţă de către acesta şi până la 4 săptămâni de la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naştere.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-BoldMT" w:eastAsia="SymbolMT" w:hAnsi="TimesNewRomanPS-BoldMT" w:cs="TimesNewRomanPS-BoldMT"/>
          <w:b/>
          <w:bCs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-BoldMT" w:eastAsia="SymbolMT" w:hAnsi="TimesNewRomanPS-BoldMT" w:cs="TimesNewRomanPS-BoldMT"/>
          <w:b/>
          <w:bCs/>
          <w:sz w:val="24"/>
          <w:szCs w:val="24"/>
        </w:rPr>
        <w:t xml:space="preserve">1.2.3. </w:t>
      </w:r>
      <w:r w:rsidRPr="00E229DA">
        <w:rPr>
          <w:rFonts w:ascii="TimesNewRomanPSMT" w:eastAsia="SymbolMT" w:hAnsi="TimesNewRomanPSMT" w:cs="TimesNewRomanPSMT"/>
          <w:b/>
          <w:sz w:val="24"/>
          <w:szCs w:val="24"/>
        </w:rPr>
        <w:t>Consultaţii preventive de evaluare a riscului individual la adultul asimptomatic</w:t>
      </w:r>
      <w:r>
        <w:rPr>
          <w:rFonts w:ascii="TimesNewRomanPSMT" w:eastAsia="SymbolMT" w:hAnsi="TimesNewRomanPSMT" w:cs="TimesNewRomanPSMT"/>
          <w:sz w:val="24"/>
          <w:szCs w:val="24"/>
        </w:rPr>
        <w:t xml:space="preserve"> care se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acordă la cabinetul medicului de familie în mod activ adulţilor din populaţia generală - fără semne</w:t>
      </w:r>
    </w:p>
    <w:p w:rsidR="00E229DA" w:rsidRDefault="00E229DA" w:rsidP="00E229DA">
      <w:pPr>
        <w:rPr>
          <w:rFonts w:ascii="TimesNewRomanPSMT" w:eastAsia="SymbolMT" w:hAnsi="TimesNewRomanPSMT" w:cs="TimesNewRomanPSMT"/>
          <w:sz w:val="24"/>
          <w:szCs w:val="24"/>
        </w:rPr>
      </w:pPr>
      <w:r>
        <w:rPr>
          <w:rFonts w:ascii="TimesNewRomanPSMT" w:eastAsia="SymbolMT" w:hAnsi="TimesNewRomanPSMT" w:cs="TimesNewRomanPSMT"/>
          <w:sz w:val="24"/>
          <w:szCs w:val="24"/>
        </w:rPr>
        <w:t>de boală - se vor realiza după cum urmează: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1.2.3.1. Toate persoanele asimptomatice cu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vârsta între 18 şi 39 ani - o dată la 3 ani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calendaristici, pentru care medicul de familie evaluează expunerea la factorii de risc finalizată prin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completarea riscogramei pentru grupa de vârstă şi sex corespunzătoare conform anexei nr. 2 C la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ordin. Se decontează maxim 2 consultaţii/asigurat în anul în care se realizează evaluarea riscului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individual. Pentru persoanele asimptomatice cu vârsta între 18 şi 39 ani depistate cu risc înalt,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consultaţiile preventive de evaluare se acordă anual, conform prevederilor de la punctul 1.2.3.2. şi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 decontează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maxim 2 consultaţii/asigurat, anual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1.2.3.2. Toate persoanele asimptomatice cu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vârsta &gt; 40 ani, anual</w:t>
      </w:r>
      <w:r>
        <w:rPr>
          <w:rFonts w:ascii="TimesNewRomanPSMT" w:hAnsi="TimesNewRomanPSMT" w:cs="TimesNewRomanPSMT"/>
          <w:sz w:val="24"/>
          <w:szCs w:val="24"/>
        </w:rPr>
        <w:t xml:space="preserve"> - pentru care medicul de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familie evaluează expunerea la factorii de risc finalizată prin completarea riscogramei pentru grupa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vârstă şi sex corespunzătoare conform anexei nr. 2 C la ordin. Se decontează maxim 2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consultaţii/asigurat, anual.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NOTA 1: În cadrul consultațiilor preventive asigurații asimptomatici cu vârsta peste 18 ani, anual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respectiv odată la 3 ani, beneficiază de investigații paraclinice – analize de laborator, pe baza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biletului de trimitere eliberat de medicul de familie, dacă în anul în care se acordă consultații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preventive de evaluare a riscului individual, nu au efectuat aceste investigații. Biletul de trimitere se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întocmește distict pentru aceste investigații paraclinice cu completarea câmpului corespunzător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prevenției.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229DA">
        <w:rPr>
          <w:rFonts w:ascii="TimesNewRomanPSMT" w:hAnsi="TimesNewRomanPSMT" w:cs="TimesNewRomanPSMT"/>
          <w:b/>
          <w:sz w:val="24"/>
          <w:szCs w:val="24"/>
        </w:rPr>
        <w:t>Investigațiile paraclinice recomandate pentru prevenție sunt:</w:t>
      </w: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22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pentru adultul asimptomatic cu vârsta cuprinsă între 18 şi 39 ani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Hemoleucogramă completă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VSH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Glicemie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Colesterol seric total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Electroforeza proteinelor serice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Creatinina serică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pentru femeia cu vârsta între 18 şi 39 ani care planifică o sarcină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VDRL sau RPR</w:t>
      </w: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9DA">
        <w:rPr>
          <w:rFonts w:ascii="TimesNewRomanPS-BoldMT" w:hAnsi="TimesNewRomanPS-BoldMT" w:cs="TimesNewRomanPS-BoldMT"/>
          <w:bCs/>
          <w:sz w:val="24"/>
          <w:szCs w:val="24"/>
        </w:rPr>
        <w:t xml:space="preserve">c. </w:t>
      </w:r>
      <w:r w:rsidRPr="00E229DA">
        <w:rPr>
          <w:rFonts w:ascii="TimesNewRomanPSMT" w:hAnsi="TimesNewRomanPSMT" w:cs="TimesNewRomanPSMT"/>
          <w:sz w:val="24"/>
          <w:szCs w:val="24"/>
        </w:rPr>
        <w:t>pentru adultul asimptomatic cu vârsta de 40 de ani şi peste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Hemoleucogramă completă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VSH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Glicemie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Colesterol seric total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Electroforeza proteinelor serice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Creatinina serică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PSA la barbati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TSH și FT4 la femei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NOTA 2: Furnizorul de analize de laborator efectuează fără recomandarea medicului de familie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examenul citologic al frotiului sangvin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numai dacă este efectuat de medicul de laborator sau de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specialişti cu studii superioare nemedicale care au specializare în hematologie) în cazul în care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hemoleucograma completă prezintă modificări de parametri, respectiv efectuează TPHA în situația</w:t>
      </w:r>
    </w:p>
    <w:p w:rsidR="00E229DA" w:rsidRDefault="00E229DA" w:rsidP="00E229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în care VDRL sau RPR este pozitiv.</w:t>
      </w:r>
    </w:p>
    <w:p w:rsidR="00E229DA" w:rsidRP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1.2.4</w:t>
      </w:r>
      <w:r w:rsidRPr="00E229DA">
        <w:rPr>
          <w:rFonts w:ascii="TimesNewRomanPSMT" w:hAnsi="TimesNewRomanPSMT" w:cs="TimesNewRomanPSMT"/>
          <w:b/>
          <w:sz w:val="24"/>
          <w:szCs w:val="24"/>
        </w:rPr>
        <w:t>. Supraveghere (evaluarea factorilor ambientali, consiliere privind igiena alimentaţiei) şi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9DA">
        <w:rPr>
          <w:rFonts w:ascii="TimesNewRomanPSMT" w:hAnsi="TimesNewRomanPSMT" w:cs="TimesNewRomanPSMT"/>
          <w:b/>
          <w:sz w:val="24"/>
          <w:szCs w:val="24"/>
        </w:rPr>
        <w:t>depistare de boli cu potenţial endemo-epidemic</w:t>
      </w:r>
      <w:r>
        <w:rPr>
          <w:rFonts w:ascii="TimesNewRomanPSMT" w:hAnsi="TimesNewRomanPSMT" w:cs="TimesNewRomanPSMT"/>
          <w:sz w:val="24"/>
          <w:szCs w:val="24"/>
        </w:rPr>
        <w:t xml:space="preserve"> (examen clinic, diagnostic prezumtiv, trimitere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către structurile de specialitate pentru investigaţii, confirmare, tratament adecvat şi măsuri igienicosanitare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specifice, după caz). Bolile cu potenţial endemo-epidemic sunt cele prevăzute la punctul II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 anexa la H.G. nr. 1186/2000.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1.2.4.1: Se acordă o singură consultaţie per persoană pentru fiecare boală cu potenţial endemoepidemic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suspicionată şi confirmată.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1.2.5. </w:t>
      </w:r>
      <w:r w:rsidRPr="00E229DA">
        <w:rPr>
          <w:rFonts w:ascii="TimesNewRomanPSMT" w:hAnsi="TimesNewRomanPSMT" w:cs="TimesNewRomanPSMT"/>
          <w:b/>
          <w:sz w:val="24"/>
          <w:szCs w:val="24"/>
        </w:rPr>
        <w:t>Consultaţii pentru acordarea serviciilor de planificare familială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consilierea femeii privind planificarea familială;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indicarea unei metode contraceptive la persoanele fără risc.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1.2.5.1.: Consultaţia poate cuprinde, după caz, numai serviciul prevăzut la litera a) sau serviciile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prevăzute la literele a) şi b); se acordă maximum două consultaţii pe an calendaristic, pe asigurat.</w:t>
      </w:r>
    </w:p>
    <w:p w:rsidR="00E229DA" w:rsidRDefault="00E229DA" w:rsidP="00E229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E229DA" w:rsidSect="00E229DA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A"/>
    <w:rsid w:val="00193B7C"/>
    <w:rsid w:val="00E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1247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2015-08-02T10:06:00Z</dcterms:created>
  <dcterms:modified xsi:type="dcterms:W3CDTF">2015-08-02T10:21:00Z</dcterms:modified>
</cp:coreProperties>
</file>